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03E4" w:rsidRDefault="00293B01"/>
    <w:p w:rsidR="001A34C8" w:rsidRDefault="001A34C8"/>
    <w:tbl>
      <w:tblPr>
        <w:tblStyle w:val="Tablaconcuadrcula"/>
        <w:tblW w:w="5000" w:type="pct"/>
        <w:tblLook w:val="04A0" w:firstRow="1" w:lastRow="0" w:firstColumn="1" w:lastColumn="0" w:noHBand="0" w:noVBand="1"/>
      </w:tblPr>
      <w:tblGrid>
        <w:gridCol w:w="443"/>
        <w:gridCol w:w="1077"/>
        <w:gridCol w:w="1429"/>
        <w:gridCol w:w="1030"/>
        <w:gridCol w:w="1395"/>
        <w:gridCol w:w="1526"/>
        <w:gridCol w:w="431"/>
        <w:gridCol w:w="426"/>
        <w:gridCol w:w="884"/>
        <w:gridCol w:w="806"/>
        <w:gridCol w:w="783"/>
        <w:gridCol w:w="1370"/>
        <w:gridCol w:w="790"/>
        <w:gridCol w:w="610"/>
        <w:gridCol w:w="990"/>
        <w:gridCol w:w="1067"/>
        <w:gridCol w:w="931"/>
        <w:gridCol w:w="1326"/>
      </w:tblGrid>
      <w:tr w:rsidR="001A34C8" w:rsidRPr="00882BF7" w:rsidTr="006833EC">
        <w:trPr>
          <w:cantSplit/>
          <w:trHeight w:val="245"/>
        </w:trPr>
        <w:tc>
          <w:tcPr>
            <w:tcW w:w="5000" w:type="pct"/>
            <w:gridSpan w:val="18"/>
            <w:vAlign w:val="center"/>
          </w:tcPr>
          <w:p w:rsidR="001A34C8" w:rsidRPr="00882BF7" w:rsidRDefault="001A34C8" w:rsidP="00B92D73">
            <w:pPr>
              <w:ind w:left="-79"/>
              <w:jc w:val="center"/>
              <w:rPr>
                <w:rFonts w:ascii="Arial" w:hAnsi="Arial" w:cs="Arial"/>
                <w:b/>
                <w:sz w:val="12"/>
                <w:szCs w:val="12"/>
              </w:rPr>
            </w:pPr>
            <w:r w:rsidRPr="00882BF7">
              <w:rPr>
                <w:rFonts w:ascii="Arial" w:hAnsi="Arial" w:cs="Arial"/>
                <w:b/>
                <w:sz w:val="12"/>
                <w:szCs w:val="12"/>
              </w:rPr>
              <w:t>MAPA DE RIESGO DE CORRUPCION –</w:t>
            </w:r>
            <w:r>
              <w:rPr>
                <w:rFonts w:ascii="Arial" w:hAnsi="Arial" w:cs="Arial"/>
                <w:b/>
                <w:sz w:val="12"/>
                <w:szCs w:val="12"/>
              </w:rPr>
              <w:t>ACTUALIZADO -</w:t>
            </w:r>
            <w:r w:rsidRPr="00882BF7">
              <w:rPr>
                <w:rFonts w:ascii="Arial" w:hAnsi="Arial" w:cs="Arial"/>
                <w:b/>
                <w:sz w:val="12"/>
                <w:szCs w:val="12"/>
              </w:rPr>
              <w:t>AGENCIA DE DESARROLLO LOCAL DE ITAGUI/ADELI-</w:t>
            </w:r>
            <w:r>
              <w:rPr>
                <w:rFonts w:ascii="Arial" w:hAnsi="Arial" w:cs="Arial"/>
                <w:b/>
                <w:sz w:val="12"/>
                <w:szCs w:val="12"/>
              </w:rPr>
              <w:t>2020</w:t>
            </w:r>
          </w:p>
        </w:tc>
      </w:tr>
      <w:tr w:rsidR="001A34C8" w:rsidRPr="00882BF7" w:rsidTr="006833EC">
        <w:trPr>
          <w:cantSplit/>
          <w:trHeight w:val="180"/>
        </w:trPr>
        <w:tc>
          <w:tcPr>
            <w:tcW w:w="2117" w:type="pct"/>
            <w:gridSpan w:val="7"/>
            <w:vMerge w:val="restart"/>
            <w:vAlign w:val="center"/>
          </w:tcPr>
          <w:p w:rsidR="001A34C8" w:rsidRPr="00882BF7" w:rsidRDefault="001A34C8" w:rsidP="00B92D73">
            <w:pP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MATRIZ DE RIESGO</w:t>
            </w:r>
          </w:p>
        </w:tc>
        <w:tc>
          <w:tcPr>
            <w:tcW w:w="2883" w:type="pct"/>
            <w:gridSpan w:val="11"/>
            <w:vAlign w:val="center"/>
          </w:tcPr>
          <w:p w:rsidR="001A34C8" w:rsidRPr="00882BF7" w:rsidRDefault="001A34C8" w:rsidP="00B92D73">
            <w:pPr>
              <w:rPr>
                <w:rFonts w:ascii="Arial" w:hAnsi="Arial" w:cs="Arial"/>
                <w:sz w:val="12"/>
                <w:szCs w:val="12"/>
              </w:rPr>
            </w:pPr>
            <w:r w:rsidRPr="00882BF7">
              <w:rPr>
                <w:rFonts w:ascii="Arial" w:hAnsi="Arial" w:cs="Arial"/>
                <w:sz w:val="12"/>
                <w:szCs w:val="12"/>
              </w:rPr>
              <w:t>Código:</w:t>
            </w:r>
          </w:p>
        </w:tc>
      </w:tr>
      <w:tr w:rsidR="001A34C8" w:rsidRPr="00882BF7" w:rsidTr="006833EC">
        <w:trPr>
          <w:cantSplit/>
          <w:trHeight w:val="135"/>
        </w:trPr>
        <w:tc>
          <w:tcPr>
            <w:tcW w:w="2117" w:type="pct"/>
            <w:gridSpan w:val="7"/>
            <w:vMerge/>
            <w:vAlign w:val="center"/>
          </w:tcPr>
          <w:p w:rsidR="001A34C8" w:rsidRPr="00882BF7" w:rsidRDefault="001A34C8" w:rsidP="00B92D73">
            <w:pPr>
              <w:rPr>
                <w:rFonts w:ascii="Arial" w:hAnsi="Arial" w:cs="Arial"/>
                <w:sz w:val="12"/>
                <w:szCs w:val="12"/>
              </w:rPr>
            </w:pPr>
          </w:p>
        </w:tc>
        <w:tc>
          <w:tcPr>
            <w:tcW w:w="2883" w:type="pct"/>
            <w:gridSpan w:val="11"/>
            <w:vAlign w:val="center"/>
          </w:tcPr>
          <w:p w:rsidR="001A34C8" w:rsidRPr="00882BF7" w:rsidRDefault="001A34C8" w:rsidP="00B92D73">
            <w:pPr>
              <w:rPr>
                <w:rFonts w:ascii="Arial" w:hAnsi="Arial" w:cs="Arial"/>
                <w:sz w:val="12"/>
                <w:szCs w:val="12"/>
              </w:rPr>
            </w:pPr>
            <w:r w:rsidRPr="00882BF7">
              <w:rPr>
                <w:rFonts w:ascii="Arial" w:hAnsi="Arial" w:cs="Arial"/>
                <w:sz w:val="12"/>
                <w:szCs w:val="12"/>
              </w:rPr>
              <w:t>Versión:0</w:t>
            </w:r>
            <w:r>
              <w:rPr>
                <w:rFonts w:ascii="Arial" w:hAnsi="Arial" w:cs="Arial"/>
                <w:sz w:val="12"/>
                <w:szCs w:val="12"/>
              </w:rPr>
              <w:t>2</w:t>
            </w:r>
          </w:p>
        </w:tc>
      </w:tr>
      <w:tr w:rsidR="001A34C8" w:rsidRPr="00882BF7" w:rsidTr="006833EC">
        <w:trPr>
          <w:cantSplit/>
          <w:trHeight w:val="83"/>
        </w:trPr>
        <w:tc>
          <w:tcPr>
            <w:tcW w:w="2117" w:type="pct"/>
            <w:gridSpan w:val="7"/>
            <w:vMerge/>
            <w:vAlign w:val="center"/>
          </w:tcPr>
          <w:p w:rsidR="001A34C8" w:rsidRPr="00882BF7" w:rsidRDefault="001A34C8" w:rsidP="00B92D73">
            <w:pPr>
              <w:rPr>
                <w:rFonts w:ascii="Arial" w:hAnsi="Arial" w:cs="Arial"/>
                <w:sz w:val="12"/>
                <w:szCs w:val="12"/>
              </w:rPr>
            </w:pPr>
          </w:p>
        </w:tc>
        <w:tc>
          <w:tcPr>
            <w:tcW w:w="2883" w:type="pct"/>
            <w:gridSpan w:val="11"/>
            <w:vAlign w:val="center"/>
          </w:tcPr>
          <w:p w:rsidR="001A34C8" w:rsidRPr="00882BF7" w:rsidRDefault="001A34C8" w:rsidP="00B92D73">
            <w:pPr>
              <w:rPr>
                <w:rFonts w:ascii="Arial" w:hAnsi="Arial" w:cs="Arial"/>
                <w:sz w:val="12"/>
                <w:szCs w:val="12"/>
              </w:rPr>
            </w:pPr>
            <w:r w:rsidRPr="00882BF7">
              <w:rPr>
                <w:rFonts w:ascii="Arial" w:hAnsi="Arial" w:cs="Arial"/>
                <w:sz w:val="12"/>
                <w:szCs w:val="12"/>
              </w:rPr>
              <w:t>Fecha de elaboración</w:t>
            </w:r>
            <w:r>
              <w:rPr>
                <w:rFonts w:ascii="Arial" w:hAnsi="Arial" w:cs="Arial"/>
                <w:sz w:val="12"/>
                <w:szCs w:val="12"/>
              </w:rPr>
              <w:t>: 17/06/2020</w:t>
            </w:r>
          </w:p>
        </w:tc>
      </w:tr>
      <w:tr w:rsidR="006833EC" w:rsidRPr="00882BF7" w:rsidTr="006833EC">
        <w:trPr>
          <w:cantSplit/>
          <w:trHeight w:val="515"/>
        </w:trPr>
        <w:tc>
          <w:tcPr>
            <w:tcW w:w="128" w:type="pct"/>
            <w:shd w:val="clear" w:color="auto" w:fill="F2F2F2" w:themeFill="background1" w:themeFillShade="F2"/>
            <w:vAlign w:val="center"/>
          </w:tcPr>
          <w:p w:rsidR="001A34C8" w:rsidRPr="00882BF7" w:rsidRDefault="001A34C8" w:rsidP="00B92D73">
            <w:pPr>
              <w:rPr>
                <w:rFonts w:ascii="Arial" w:hAnsi="Arial" w:cs="Arial"/>
                <w:b/>
                <w:sz w:val="12"/>
                <w:szCs w:val="12"/>
              </w:rPr>
            </w:pPr>
          </w:p>
        </w:tc>
        <w:tc>
          <w:tcPr>
            <w:tcW w:w="1865" w:type="pct"/>
            <w:gridSpan w:val="5"/>
            <w:shd w:val="clear" w:color="auto" w:fill="F2F2F2" w:themeFill="background1" w:themeFillShade="F2"/>
            <w:vAlign w:val="center"/>
          </w:tcPr>
          <w:p w:rsidR="001A34C8" w:rsidRPr="00882BF7" w:rsidRDefault="001A34C8" w:rsidP="00B92D73">
            <w:pPr>
              <w:ind w:left="42"/>
              <w:jc w:val="center"/>
              <w:rPr>
                <w:rFonts w:ascii="Arial" w:hAnsi="Arial" w:cs="Arial"/>
                <w:b/>
                <w:sz w:val="12"/>
                <w:szCs w:val="12"/>
              </w:rPr>
            </w:pPr>
          </w:p>
          <w:p w:rsidR="001A34C8" w:rsidRPr="00882BF7" w:rsidRDefault="001A34C8" w:rsidP="00B92D73">
            <w:pPr>
              <w:ind w:left="42"/>
              <w:jc w:val="center"/>
              <w:rPr>
                <w:rFonts w:ascii="Arial" w:hAnsi="Arial" w:cs="Arial"/>
                <w:b/>
                <w:sz w:val="12"/>
                <w:szCs w:val="12"/>
              </w:rPr>
            </w:pPr>
            <w:r w:rsidRPr="00882BF7">
              <w:rPr>
                <w:rFonts w:ascii="Arial" w:hAnsi="Arial" w:cs="Arial"/>
                <w:b/>
                <w:sz w:val="12"/>
                <w:szCs w:val="12"/>
              </w:rPr>
              <w:t>IDENTIFICACION DEL RIESGO</w:t>
            </w:r>
          </w:p>
        </w:tc>
        <w:tc>
          <w:tcPr>
            <w:tcW w:w="735" w:type="pct"/>
            <w:gridSpan w:val="4"/>
            <w:shd w:val="clear" w:color="auto" w:fill="D9D9D9" w:themeFill="background1" w:themeFillShade="D9"/>
            <w:vAlign w:val="center"/>
          </w:tcPr>
          <w:p w:rsidR="001A34C8" w:rsidRPr="00882BF7" w:rsidRDefault="001A34C8" w:rsidP="00B92D73">
            <w:pPr>
              <w:jc w:val="center"/>
              <w:rPr>
                <w:rFonts w:ascii="Arial" w:hAnsi="Arial" w:cs="Arial"/>
                <w:b/>
                <w:sz w:val="12"/>
                <w:szCs w:val="12"/>
              </w:rPr>
            </w:pPr>
          </w:p>
          <w:p w:rsidR="001A34C8" w:rsidRPr="00882BF7" w:rsidRDefault="001A34C8" w:rsidP="00B92D73">
            <w:pPr>
              <w:jc w:val="center"/>
              <w:rPr>
                <w:rFonts w:ascii="Arial" w:hAnsi="Arial" w:cs="Arial"/>
                <w:b/>
                <w:sz w:val="12"/>
                <w:szCs w:val="12"/>
              </w:rPr>
            </w:pPr>
            <w:r w:rsidRPr="00882BF7">
              <w:rPr>
                <w:rFonts w:ascii="Arial" w:hAnsi="Arial" w:cs="Arial"/>
                <w:b/>
                <w:sz w:val="12"/>
                <w:szCs w:val="12"/>
              </w:rPr>
              <w:t>RIESGO INHERENTE</w:t>
            </w:r>
          </w:p>
        </w:tc>
        <w:tc>
          <w:tcPr>
            <w:tcW w:w="850" w:type="pct"/>
            <w:gridSpan w:val="3"/>
            <w:shd w:val="clear" w:color="auto" w:fill="A6A6A6" w:themeFill="background1" w:themeFillShade="A6"/>
            <w:vAlign w:val="center"/>
          </w:tcPr>
          <w:p w:rsidR="001A34C8" w:rsidRPr="00882BF7" w:rsidRDefault="001A34C8" w:rsidP="00B92D73">
            <w:pPr>
              <w:jc w:val="center"/>
              <w:rPr>
                <w:rFonts w:ascii="Arial" w:hAnsi="Arial" w:cs="Arial"/>
                <w:b/>
                <w:sz w:val="12"/>
                <w:szCs w:val="12"/>
              </w:rPr>
            </w:pPr>
          </w:p>
          <w:p w:rsidR="001A34C8" w:rsidRPr="00882BF7" w:rsidRDefault="001A34C8" w:rsidP="00B92D73">
            <w:pPr>
              <w:jc w:val="center"/>
              <w:rPr>
                <w:rFonts w:ascii="Arial" w:hAnsi="Arial" w:cs="Arial"/>
                <w:b/>
                <w:sz w:val="12"/>
                <w:szCs w:val="12"/>
              </w:rPr>
            </w:pPr>
            <w:r w:rsidRPr="00882BF7">
              <w:rPr>
                <w:rFonts w:ascii="Arial" w:hAnsi="Arial" w:cs="Arial"/>
                <w:b/>
                <w:sz w:val="12"/>
                <w:szCs w:val="12"/>
              </w:rPr>
              <w:t>RESIDUAL</w:t>
            </w:r>
          </w:p>
        </w:tc>
        <w:tc>
          <w:tcPr>
            <w:tcW w:w="1422" w:type="pct"/>
            <w:gridSpan w:val="5"/>
            <w:tcBorders>
              <w:top w:val="nil"/>
              <w:bottom w:val="nil"/>
            </w:tcBorders>
            <w:shd w:val="clear" w:color="auto" w:fill="F2F2F2" w:themeFill="background1" w:themeFillShade="F2"/>
            <w:vAlign w:val="center"/>
          </w:tcPr>
          <w:p w:rsidR="001A34C8" w:rsidRPr="00882BF7" w:rsidRDefault="001A34C8" w:rsidP="00B92D73">
            <w:pPr>
              <w:jc w:val="center"/>
              <w:rPr>
                <w:rFonts w:ascii="Arial" w:hAnsi="Arial"/>
                <w:b/>
                <w:sz w:val="12"/>
                <w:szCs w:val="12"/>
              </w:rPr>
            </w:pPr>
          </w:p>
          <w:p w:rsidR="001A34C8" w:rsidRPr="00882BF7" w:rsidRDefault="001A34C8" w:rsidP="00B92D73">
            <w:pPr>
              <w:jc w:val="center"/>
              <w:rPr>
                <w:rFonts w:ascii="Arial" w:hAnsi="Arial"/>
                <w:b/>
                <w:sz w:val="12"/>
                <w:szCs w:val="12"/>
              </w:rPr>
            </w:pPr>
            <w:r w:rsidRPr="00882BF7">
              <w:rPr>
                <w:rFonts w:ascii="Arial" w:hAnsi="Arial"/>
                <w:b/>
                <w:sz w:val="12"/>
                <w:szCs w:val="12"/>
              </w:rPr>
              <w:t>TRATAMIE</w:t>
            </w:r>
            <w:r>
              <w:rPr>
                <w:rFonts w:ascii="Arial" w:hAnsi="Arial"/>
                <w:b/>
                <w:sz w:val="12"/>
                <w:szCs w:val="12"/>
              </w:rPr>
              <w:t>N</w:t>
            </w:r>
            <w:r w:rsidRPr="00882BF7">
              <w:rPr>
                <w:rFonts w:ascii="Arial" w:hAnsi="Arial"/>
                <w:b/>
                <w:sz w:val="12"/>
                <w:szCs w:val="12"/>
              </w:rPr>
              <w:t>TO DEL RIESGO</w:t>
            </w:r>
          </w:p>
        </w:tc>
      </w:tr>
      <w:tr w:rsidR="006833EC" w:rsidRPr="00882BF7" w:rsidTr="006833EC">
        <w:trPr>
          <w:cantSplit/>
          <w:trHeight w:val="858"/>
        </w:trPr>
        <w:tc>
          <w:tcPr>
            <w:tcW w:w="128"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Nro.</w:t>
            </w:r>
          </w:p>
        </w:tc>
        <w:tc>
          <w:tcPr>
            <w:tcW w:w="311"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Proceso</w:t>
            </w:r>
          </w:p>
        </w:tc>
        <w:tc>
          <w:tcPr>
            <w:tcW w:w="413"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Causa</w:t>
            </w:r>
          </w:p>
        </w:tc>
        <w:tc>
          <w:tcPr>
            <w:tcW w:w="297"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Riesgo</w:t>
            </w:r>
          </w:p>
        </w:tc>
        <w:tc>
          <w:tcPr>
            <w:tcW w:w="403"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Descripción</w:t>
            </w:r>
          </w:p>
        </w:tc>
        <w:tc>
          <w:tcPr>
            <w:tcW w:w="440"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Efecto</w:t>
            </w:r>
          </w:p>
        </w:tc>
        <w:tc>
          <w:tcPr>
            <w:tcW w:w="247" w:type="pct"/>
            <w:gridSpan w:val="2"/>
            <w:shd w:val="clear" w:color="auto" w:fill="D9D9D9" w:themeFill="background1" w:themeFillShade="D9"/>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Impacto</w:t>
            </w:r>
          </w:p>
        </w:tc>
        <w:tc>
          <w:tcPr>
            <w:tcW w:w="255" w:type="pct"/>
            <w:shd w:val="clear" w:color="auto" w:fill="D9D9D9" w:themeFill="background1" w:themeFillShade="D9"/>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Probabilidad</w:t>
            </w:r>
          </w:p>
        </w:tc>
        <w:tc>
          <w:tcPr>
            <w:tcW w:w="232" w:type="pct"/>
            <w:shd w:val="clear" w:color="auto" w:fill="D9D9D9" w:themeFill="background1" w:themeFillShade="D9"/>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Evaluación del Riesgo</w:t>
            </w:r>
          </w:p>
        </w:tc>
        <w:tc>
          <w:tcPr>
            <w:tcW w:w="226" w:type="pct"/>
            <w:shd w:val="clear" w:color="auto" w:fill="A6A6A6" w:themeFill="background1" w:themeFillShade="A6"/>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Tipo de control</w:t>
            </w:r>
          </w:p>
          <w:p w:rsidR="001A34C8" w:rsidRPr="00882BF7" w:rsidRDefault="001A34C8" w:rsidP="00B92D73">
            <w:pPr>
              <w:jc w:val="center"/>
              <w:rPr>
                <w:rFonts w:ascii="Arial" w:hAnsi="Arial" w:cs="Arial"/>
                <w:sz w:val="12"/>
                <w:szCs w:val="12"/>
              </w:rPr>
            </w:pPr>
          </w:p>
        </w:tc>
        <w:tc>
          <w:tcPr>
            <w:tcW w:w="396" w:type="pct"/>
            <w:shd w:val="clear" w:color="auto" w:fill="A6A6A6" w:themeFill="background1" w:themeFillShade="A6"/>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Descripción de los controles</w:t>
            </w:r>
          </w:p>
        </w:tc>
        <w:tc>
          <w:tcPr>
            <w:tcW w:w="228" w:type="pct"/>
            <w:shd w:val="clear" w:color="auto" w:fill="A6A6A6" w:themeFill="background1" w:themeFillShade="A6"/>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Valoración del riesgo</w:t>
            </w:r>
          </w:p>
        </w:tc>
        <w:tc>
          <w:tcPr>
            <w:tcW w:w="176"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Opción de manejo</w:t>
            </w:r>
          </w:p>
        </w:tc>
        <w:tc>
          <w:tcPr>
            <w:tcW w:w="286"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Acciones</w:t>
            </w:r>
          </w:p>
        </w:tc>
        <w:tc>
          <w:tcPr>
            <w:tcW w:w="308"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Registros</w:t>
            </w:r>
          </w:p>
          <w:p w:rsidR="001A34C8" w:rsidRPr="00882BF7" w:rsidRDefault="001A34C8" w:rsidP="00B92D73">
            <w:pPr>
              <w:jc w:val="center"/>
              <w:rPr>
                <w:rFonts w:ascii="Arial" w:hAnsi="Arial" w:cs="Arial"/>
                <w:sz w:val="12"/>
                <w:szCs w:val="12"/>
              </w:rPr>
            </w:pPr>
            <w:r w:rsidRPr="00882BF7">
              <w:rPr>
                <w:rFonts w:ascii="Arial" w:hAnsi="Arial" w:cs="Arial"/>
                <w:sz w:val="12"/>
                <w:szCs w:val="12"/>
              </w:rPr>
              <w:t>(evidencias)</w:t>
            </w:r>
          </w:p>
        </w:tc>
        <w:tc>
          <w:tcPr>
            <w:tcW w:w="269"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Responsable</w:t>
            </w:r>
          </w:p>
        </w:tc>
        <w:tc>
          <w:tcPr>
            <w:tcW w:w="383" w:type="pct"/>
            <w:shd w:val="clear" w:color="auto" w:fill="F2F2F2" w:themeFill="background1" w:themeFillShade="F2"/>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Cronograma de seguimiento</w:t>
            </w:r>
          </w:p>
        </w:tc>
      </w:tr>
      <w:tr w:rsidR="006833EC" w:rsidRPr="00882BF7" w:rsidTr="006833EC">
        <w:trPr>
          <w:cantSplit/>
          <w:trHeight w:val="2696"/>
        </w:trPr>
        <w:tc>
          <w:tcPr>
            <w:tcW w:w="128" w:type="pct"/>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1</w:t>
            </w:r>
          </w:p>
        </w:tc>
        <w:tc>
          <w:tcPr>
            <w:tcW w:w="311" w:type="pct"/>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Administración de los recursos financieros</w:t>
            </w:r>
            <w:r>
              <w:rPr>
                <w:rFonts w:ascii="Arial" w:hAnsi="Arial" w:cs="Arial"/>
                <w:sz w:val="12"/>
                <w:szCs w:val="12"/>
              </w:rPr>
              <w:t xml:space="preserve"> (PAF)</w:t>
            </w:r>
          </w:p>
        </w:tc>
        <w:tc>
          <w:tcPr>
            <w:tcW w:w="413" w:type="pct"/>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-No contar con un manual de procedimientos.</w:t>
            </w: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 No ejercer supervisión al encargado de las ejecuciones presupuestales</w:t>
            </w:r>
          </w:p>
        </w:tc>
        <w:tc>
          <w:tcPr>
            <w:tcW w:w="297" w:type="pct"/>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Afectar rubros que no corresponde con el objeto del gasto en beneficio propio o a cambio de una retribución económica</w:t>
            </w:r>
          </w:p>
        </w:tc>
        <w:tc>
          <w:tcPr>
            <w:tcW w:w="403" w:type="pct"/>
            <w:vAlign w:val="center"/>
          </w:tcPr>
          <w:p w:rsidR="001A34C8" w:rsidRPr="00882BF7" w:rsidRDefault="001A34C8" w:rsidP="00B92D73">
            <w:pPr>
              <w:spacing w:after="100" w:afterAutospacing="1"/>
              <w:rPr>
                <w:rFonts w:ascii="Arial" w:hAnsi="Arial" w:cs="Arial"/>
                <w:sz w:val="12"/>
                <w:szCs w:val="12"/>
              </w:rPr>
            </w:pPr>
            <w:r w:rsidRPr="00882BF7">
              <w:rPr>
                <w:rFonts w:ascii="Arial" w:hAnsi="Arial" w:cs="Arial"/>
                <w:sz w:val="12"/>
                <w:szCs w:val="12"/>
              </w:rPr>
              <w:t>Afectar rubros que no corresponde con el objeto del gasto en beneficio propio o a cambio de una retribución económica</w:t>
            </w:r>
          </w:p>
        </w:tc>
        <w:tc>
          <w:tcPr>
            <w:tcW w:w="440" w:type="pct"/>
            <w:vAlign w:val="center"/>
          </w:tcPr>
          <w:p w:rsidR="001A34C8" w:rsidRPr="00882BF7" w:rsidRDefault="001A34C8" w:rsidP="00B92D73">
            <w:pPr>
              <w:spacing w:after="100" w:afterAutospacing="1"/>
              <w:rPr>
                <w:rFonts w:ascii="Arial" w:hAnsi="Arial" w:cs="Arial"/>
                <w:sz w:val="12"/>
                <w:szCs w:val="12"/>
              </w:rPr>
            </w:pPr>
            <w:r w:rsidRPr="00882BF7">
              <w:rPr>
                <w:rFonts w:ascii="Arial" w:hAnsi="Arial" w:cs="Arial"/>
                <w:sz w:val="12"/>
                <w:szCs w:val="12"/>
              </w:rPr>
              <w:t>Afectación de la Imagen Institucional</w:t>
            </w:r>
            <w:r>
              <w:rPr>
                <w:rFonts w:ascii="Arial" w:hAnsi="Arial" w:cs="Arial"/>
                <w:sz w:val="12"/>
                <w:szCs w:val="12"/>
              </w:rPr>
              <w:t xml:space="preserve"> </w:t>
            </w:r>
            <w:r w:rsidRPr="00882BF7">
              <w:rPr>
                <w:rFonts w:ascii="Arial" w:hAnsi="Arial" w:cs="Arial"/>
                <w:sz w:val="12"/>
                <w:szCs w:val="12"/>
              </w:rPr>
              <w:t>denuncias y sanciones, perdida y credibilidad y confianza en los funcionarios públicos</w:t>
            </w:r>
          </w:p>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p>
        </w:tc>
        <w:tc>
          <w:tcPr>
            <w:tcW w:w="247" w:type="pct"/>
            <w:gridSpan w:val="2"/>
            <w:shd w:val="clear" w:color="auto" w:fill="FFC000" w:themeFill="accent4"/>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Mayor</w:t>
            </w:r>
          </w:p>
        </w:tc>
        <w:tc>
          <w:tcPr>
            <w:tcW w:w="255" w:type="pct"/>
            <w:shd w:val="clear" w:color="auto" w:fill="70AD47" w:themeFill="accent6"/>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Rara vez</w:t>
            </w:r>
          </w:p>
        </w:tc>
        <w:tc>
          <w:tcPr>
            <w:tcW w:w="232" w:type="pct"/>
            <w:shd w:val="clear" w:color="auto" w:fill="70AD47" w:themeFill="accent6"/>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Zona de Riesgo baja. Asumir el Riesgo.</w:t>
            </w:r>
          </w:p>
        </w:tc>
        <w:tc>
          <w:tcPr>
            <w:tcW w:w="226" w:type="pct"/>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Preventivo</w:t>
            </w:r>
          </w:p>
        </w:tc>
        <w:tc>
          <w:tcPr>
            <w:tcW w:w="396" w:type="pct"/>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establecer claves de permisos para efectuar ejecuciones presupuestales en cabeza de los funcionarios de la agencia,</w:t>
            </w:r>
            <w:r>
              <w:rPr>
                <w:rFonts w:ascii="Arial" w:hAnsi="Arial" w:cs="Arial"/>
                <w:sz w:val="12"/>
                <w:szCs w:val="12"/>
              </w:rPr>
              <w:t xml:space="preserve"> separación de las funciones contables y las presupuestales,</w:t>
            </w:r>
            <w:r w:rsidRPr="00882BF7">
              <w:rPr>
                <w:rFonts w:ascii="Arial" w:hAnsi="Arial" w:cs="Arial"/>
                <w:sz w:val="12"/>
                <w:szCs w:val="12"/>
              </w:rPr>
              <w:t xml:space="preserve"> Efectuar revisiones y establecer auditorias, realizar seguimiento a las ejecuciones presupuéstales</w:t>
            </w:r>
          </w:p>
        </w:tc>
        <w:tc>
          <w:tcPr>
            <w:tcW w:w="228" w:type="pct"/>
            <w:shd w:val="clear" w:color="auto" w:fill="FFFF00"/>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Zona de riesgo moderada. Asumir el riesgo. Reducir el riesgo</w:t>
            </w:r>
          </w:p>
        </w:tc>
        <w:tc>
          <w:tcPr>
            <w:tcW w:w="176" w:type="pct"/>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Evitar</w:t>
            </w:r>
          </w:p>
        </w:tc>
        <w:tc>
          <w:tcPr>
            <w:tcW w:w="286" w:type="pct"/>
            <w:vAlign w:val="center"/>
          </w:tcPr>
          <w:p w:rsidR="001A34C8" w:rsidRPr="00882BF7" w:rsidRDefault="001A34C8" w:rsidP="00B92D73">
            <w:pPr>
              <w:pStyle w:val="Normal0"/>
              <w:spacing w:after="100" w:afterAutospacing="1"/>
              <w:jc w:val="center"/>
              <w:rPr>
                <w:sz w:val="12"/>
                <w:szCs w:val="12"/>
              </w:rPr>
            </w:pPr>
          </w:p>
          <w:p w:rsidR="001A34C8" w:rsidRPr="00882BF7" w:rsidRDefault="001A34C8" w:rsidP="00B92D73">
            <w:pPr>
              <w:pStyle w:val="Normal0"/>
              <w:spacing w:after="100" w:afterAutospacing="1"/>
              <w:jc w:val="center"/>
              <w:rPr>
                <w:sz w:val="12"/>
                <w:szCs w:val="12"/>
              </w:rPr>
            </w:pPr>
            <w:r w:rsidRPr="00882BF7">
              <w:rPr>
                <w:sz w:val="12"/>
                <w:szCs w:val="12"/>
              </w:rPr>
              <w:t>Capacitar a los funcionarios en el código único disciplinario y delitos contra la administración pública y estrategias anticorrupción</w:t>
            </w:r>
          </w:p>
        </w:tc>
        <w:tc>
          <w:tcPr>
            <w:tcW w:w="308" w:type="pct"/>
            <w:vAlign w:val="center"/>
          </w:tcPr>
          <w:p w:rsidR="001A34C8" w:rsidRPr="00882BF7" w:rsidRDefault="001A34C8" w:rsidP="00B92D73">
            <w:pPr>
              <w:spacing w:after="100" w:afterAutospacing="1"/>
              <w:jc w:val="center"/>
              <w:rPr>
                <w:rFonts w:ascii="Arial" w:hAnsi="Arial" w:cs="Arial"/>
                <w:sz w:val="12"/>
                <w:szCs w:val="12"/>
              </w:rPr>
            </w:pPr>
            <w:r>
              <w:rPr>
                <w:rFonts w:ascii="Arial" w:hAnsi="Arial" w:cs="Arial"/>
                <w:sz w:val="12"/>
                <w:szCs w:val="12"/>
              </w:rPr>
              <w:t>Listado de asistencia de los funcionarios y memorias, se tienen en el sistema contable los permisos de cada uno de los funcionarios que intervienen en los procesos y se hace un seguimiento y revisión a todo el proceso financiero con una frecuencia mensual.</w:t>
            </w:r>
          </w:p>
        </w:tc>
        <w:tc>
          <w:tcPr>
            <w:tcW w:w="269"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 xml:space="preserve">el </w:t>
            </w:r>
            <w:r w:rsidRPr="00882BF7">
              <w:rPr>
                <w:rFonts w:ascii="Arial" w:hAnsi="Arial" w:cs="Arial"/>
                <w:sz w:val="12"/>
                <w:szCs w:val="12"/>
              </w:rPr>
              <w:t>responsable del proceso</w:t>
            </w:r>
          </w:p>
        </w:tc>
        <w:tc>
          <w:tcPr>
            <w:tcW w:w="383" w:type="pct"/>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semestral</w:t>
            </w:r>
          </w:p>
        </w:tc>
      </w:tr>
      <w:tr w:rsidR="006833EC" w:rsidRPr="00882BF7" w:rsidTr="006833EC">
        <w:trPr>
          <w:cantSplit/>
        </w:trPr>
        <w:tc>
          <w:tcPr>
            <w:tcW w:w="128" w:type="pct"/>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2.</w:t>
            </w:r>
          </w:p>
        </w:tc>
        <w:tc>
          <w:tcPr>
            <w:tcW w:w="311" w:type="pct"/>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Contratación</w:t>
            </w:r>
          </w:p>
        </w:tc>
        <w:tc>
          <w:tcPr>
            <w:tcW w:w="413" w:type="pct"/>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Soluciones ante la inmediatez o urgencia de sacar un proceso o proyecto adelante, Falta de control y análisis previo por parte de la Gerencia de la planta de cargos vs Perfil profesional.</w:t>
            </w:r>
          </w:p>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p>
        </w:tc>
        <w:tc>
          <w:tcPr>
            <w:tcW w:w="297" w:type="pct"/>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Designar supervisores que no cuenten con conocimientos suficientes para desempeñar la función.</w:t>
            </w:r>
          </w:p>
          <w:p w:rsidR="001A34C8" w:rsidRPr="00882BF7" w:rsidRDefault="001A34C8" w:rsidP="00B92D73">
            <w:pPr>
              <w:spacing w:after="100" w:afterAutospacing="1"/>
              <w:jc w:val="center"/>
              <w:rPr>
                <w:rFonts w:ascii="Arial" w:hAnsi="Arial" w:cs="Arial"/>
                <w:sz w:val="12"/>
                <w:szCs w:val="12"/>
              </w:rPr>
            </w:pPr>
          </w:p>
        </w:tc>
        <w:tc>
          <w:tcPr>
            <w:tcW w:w="403" w:type="pct"/>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En muchas ocasiones se delega la supervisión e interventoría de un contrato en profesionales no calificados, es decir, en la medida de lo posible se debe propender asignar la supervisión en personas calificadas, con un nivel de formación académica apto para llevar la supervisión y que de esta manera se pueda llevar un control y seguimiento minucioso de</w:t>
            </w:r>
            <w:r>
              <w:rPr>
                <w:rFonts w:ascii="Arial" w:hAnsi="Arial" w:cs="Arial"/>
                <w:sz w:val="12"/>
                <w:szCs w:val="12"/>
              </w:rPr>
              <w:t>l</w:t>
            </w:r>
            <w:r w:rsidRPr="00882BF7">
              <w:rPr>
                <w:rFonts w:ascii="Arial" w:hAnsi="Arial" w:cs="Arial"/>
                <w:sz w:val="12"/>
                <w:szCs w:val="12"/>
              </w:rPr>
              <w:t xml:space="preserve"> cumplimiento del objeto contractual.</w:t>
            </w:r>
          </w:p>
        </w:tc>
        <w:tc>
          <w:tcPr>
            <w:tcW w:w="440" w:type="pct"/>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Una supervisión no muy objetiva, carente del componente Técnico, Falta de solidez y validez en varios aspectos por desconocimiento de la norma o de la ejecución de las actividades, No garantía del cumplimiento a cabalidad de todas las actividades del contrato y Falta de exigencia al contratista o socio en el cumplimiento de las obligaciones.</w:t>
            </w:r>
          </w:p>
        </w:tc>
        <w:tc>
          <w:tcPr>
            <w:tcW w:w="247" w:type="pct"/>
            <w:gridSpan w:val="2"/>
            <w:shd w:val="clear" w:color="auto" w:fill="FFC000" w:themeFill="accent4"/>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Mayor</w:t>
            </w:r>
          </w:p>
        </w:tc>
        <w:tc>
          <w:tcPr>
            <w:tcW w:w="255" w:type="pct"/>
            <w:shd w:val="clear" w:color="auto" w:fill="FFFF00"/>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Posible</w:t>
            </w:r>
          </w:p>
        </w:tc>
        <w:tc>
          <w:tcPr>
            <w:tcW w:w="232" w:type="pct"/>
            <w:shd w:val="clear" w:color="auto" w:fill="FFC000" w:themeFill="accent4"/>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Zona de Riesgo Alta. Reducir el Riesgo. Evitar el riesgo compartir o transferir</w:t>
            </w:r>
          </w:p>
        </w:tc>
        <w:tc>
          <w:tcPr>
            <w:tcW w:w="226" w:type="pct"/>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Preventivo</w:t>
            </w:r>
          </w:p>
        </w:tc>
        <w:tc>
          <w:tcPr>
            <w:tcW w:w="396" w:type="pct"/>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Regirse por los parámetros e instrucciones del manual de contratación de la Agencia en cuanto al proceso de supervisión se refiere, Antes de delegar un supervisor a cualquier proceso, se debe llevar a consideración esta petición al Comité de Contratación Interno de la Agencia,</w:t>
            </w:r>
          </w:p>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p>
        </w:tc>
        <w:tc>
          <w:tcPr>
            <w:tcW w:w="228" w:type="pct"/>
            <w:shd w:val="clear" w:color="auto" w:fill="FFFF00"/>
            <w:vAlign w:val="center"/>
          </w:tcPr>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Zona de riesgo moderada. Asumir el riesgo. Reducir el riesgo</w:t>
            </w:r>
          </w:p>
        </w:tc>
        <w:tc>
          <w:tcPr>
            <w:tcW w:w="176" w:type="pct"/>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Evitar</w:t>
            </w:r>
          </w:p>
        </w:tc>
        <w:tc>
          <w:tcPr>
            <w:tcW w:w="286" w:type="pct"/>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Capacitar a los funcionarios en las normas que rige la contratación y en los procesos de contratación.</w:t>
            </w:r>
          </w:p>
        </w:tc>
        <w:tc>
          <w:tcPr>
            <w:tcW w:w="308" w:type="pct"/>
            <w:vAlign w:val="center"/>
          </w:tcPr>
          <w:p w:rsidR="001A34C8" w:rsidRPr="00882BF7" w:rsidRDefault="001A34C8" w:rsidP="00B92D73">
            <w:pPr>
              <w:spacing w:after="100" w:afterAutospacing="1"/>
              <w:jc w:val="center"/>
              <w:rPr>
                <w:rFonts w:ascii="Arial" w:hAnsi="Arial" w:cs="Arial"/>
                <w:sz w:val="12"/>
                <w:szCs w:val="12"/>
              </w:rPr>
            </w:pPr>
            <w:r>
              <w:rPr>
                <w:rFonts w:ascii="Arial" w:hAnsi="Arial" w:cs="Arial"/>
                <w:sz w:val="12"/>
                <w:szCs w:val="12"/>
              </w:rPr>
              <w:t>Listado de asistencia de los funcionarios a las capacitaciones y memorias</w:t>
            </w:r>
          </w:p>
        </w:tc>
        <w:tc>
          <w:tcPr>
            <w:tcW w:w="269"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 xml:space="preserve">Jefe de oficina jurídica </w:t>
            </w:r>
          </w:p>
        </w:tc>
        <w:tc>
          <w:tcPr>
            <w:tcW w:w="383" w:type="pct"/>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semestral</w:t>
            </w:r>
          </w:p>
        </w:tc>
      </w:tr>
      <w:tr w:rsidR="006833EC" w:rsidRPr="00882BF7" w:rsidTr="006833EC">
        <w:trPr>
          <w:cantSplit/>
        </w:trPr>
        <w:tc>
          <w:tcPr>
            <w:tcW w:w="128" w:type="pct"/>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3</w:t>
            </w:r>
          </w:p>
        </w:tc>
        <w:tc>
          <w:tcPr>
            <w:tcW w:w="311" w:type="pct"/>
            <w:vAlign w:val="center"/>
          </w:tcPr>
          <w:p w:rsidR="001A34C8" w:rsidRPr="00882BF7" w:rsidRDefault="001A34C8" w:rsidP="00B92D73">
            <w:pPr>
              <w:jc w:val="center"/>
              <w:rPr>
                <w:rFonts w:ascii="Arial" w:hAnsi="Arial" w:cs="Arial"/>
                <w:sz w:val="12"/>
                <w:szCs w:val="12"/>
              </w:rPr>
            </w:pPr>
            <w:r w:rsidRPr="00B02FCA">
              <w:rPr>
                <w:rFonts w:ascii="Arial" w:hAnsi="Arial" w:cs="Arial"/>
                <w:sz w:val="12"/>
                <w:szCs w:val="12"/>
              </w:rPr>
              <w:t xml:space="preserve">Contratación </w:t>
            </w:r>
          </w:p>
        </w:tc>
        <w:tc>
          <w:tcPr>
            <w:tcW w:w="413" w:type="pct"/>
            <w:vAlign w:val="center"/>
          </w:tcPr>
          <w:p w:rsidR="001A34C8" w:rsidRDefault="001A34C8" w:rsidP="00B92D73">
            <w:pPr>
              <w:jc w:val="both"/>
              <w:rPr>
                <w:rFonts w:ascii="Arial" w:hAnsi="Arial"/>
                <w:sz w:val="12"/>
                <w:szCs w:val="12"/>
              </w:rPr>
            </w:pPr>
            <w:r w:rsidRPr="00102AA1">
              <w:rPr>
                <w:rFonts w:ascii="Arial" w:hAnsi="Arial" w:cs="Arial"/>
                <w:sz w:val="12"/>
                <w:szCs w:val="12"/>
              </w:rPr>
              <w:t>Asignar la actividad contractual a personal que no cuente con el perfil y la idone</w:t>
            </w:r>
            <w:r>
              <w:rPr>
                <w:rFonts w:ascii="Arial" w:hAnsi="Arial" w:cs="Arial"/>
                <w:sz w:val="12"/>
                <w:szCs w:val="12"/>
              </w:rPr>
              <w:t xml:space="preserve">idad requerida para su adecuado </w:t>
            </w:r>
            <w:r w:rsidRPr="00102AA1">
              <w:rPr>
                <w:rFonts w:ascii="Arial" w:hAnsi="Arial" w:cs="Arial"/>
                <w:sz w:val="12"/>
                <w:szCs w:val="12"/>
              </w:rPr>
              <w:t>desarrollo</w:t>
            </w:r>
            <w:r>
              <w:rPr>
                <w:rFonts w:ascii="Arial" w:hAnsi="Arial" w:cs="Arial"/>
                <w:sz w:val="12"/>
                <w:szCs w:val="12"/>
              </w:rPr>
              <w:t xml:space="preserve">, no contar con los instructivos que detallan el paso a paso de cada una de las modalidades de contratación implementadas en la empresa, teniendo implementado los instructivos en la empresa, los mismos no son observados por el personal encargado de llevar a cabo los procedimientos contractuales. </w:t>
            </w:r>
          </w:p>
          <w:p w:rsidR="001A34C8" w:rsidRPr="002026AC" w:rsidRDefault="001A34C8" w:rsidP="00B92D73">
            <w:pPr>
              <w:spacing w:after="160" w:line="259" w:lineRule="auto"/>
              <w:jc w:val="both"/>
              <w:rPr>
                <w:rFonts w:ascii="Arial" w:hAnsi="Arial" w:cs="Arial"/>
                <w:b/>
                <w:sz w:val="12"/>
                <w:szCs w:val="12"/>
              </w:rPr>
            </w:pPr>
          </w:p>
          <w:p w:rsidR="001A34C8" w:rsidRPr="002026AC" w:rsidRDefault="001A34C8" w:rsidP="00B92D73">
            <w:pPr>
              <w:jc w:val="center"/>
              <w:rPr>
                <w:rFonts w:ascii="Arial" w:hAnsi="Arial"/>
                <w:sz w:val="12"/>
                <w:szCs w:val="12"/>
              </w:rPr>
            </w:pPr>
          </w:p>
        </w:tc>
        <w:tc>
          <w:tcPr>
            <w:tcW w:w="297" w:type="pct"/>
            <w:vAlign w:val="center"/>
          </w:tcPr>
          <w:p w:rsidR="001A34C8" w:rsidRPr="00882BF7" w:rsidRDefault="001A34C8" w:rsidP="00B92D73">
            <w:pPr>
              <w:jc w:val="both"/>
              <w:rPr>
                <w:rFonts w:ascii="Arial" w:hAnsi="Arial" w:cs="Arial"/>
                <w:sz w:val="12"/>
                <w:szCs w:val="12"/>
              </w:rPr>
            </w:pPr>
            <w:r>
              <w:rPr>
                <w:rFonts w:ascii="Arial" w:hAnsi="Arial" w:cs="Arial"/>
                <w:sz w:val="12"/>
                <w:szCs w:val="12"/>
              </w:rPr>
              <w:t>Incumplimiento de los procedimientos contractuales propios de la entidad consagrada en la constitución política, en la ley y en su manual de contratación.</w:t>
            </w:r>
          </w:p>
        </w:tc>
        <w:tc>
          <w:tcPr>
            <w:tcW w:w="403" w:type="pct"/>
            <w:vAlign w:val="center"/>
          </w:tcPr>
          <w:p w:rsidR="001A34C8" w:rsidRPr="00882BF7" w:rsidRDefault="001A34C8" w:rsidP="00B92D73">
            <w:pPr>
              <w:pStyle w:val="Normal0"/>
              <w:jc w:val="both"/>
              <w:rPr>
                <w:sz w:val="12"/>
                <w:szCs w:val="12"/>
              </w:rPr>
            </w:pPr>
            <w:r>
              <w:rPr>
                <w:sz w:val="12"/>
                <w:szCs w:val="12"/>
              </w:rPr>
              <w:t>Llevar a cabo un proceso contractual, implica tener el conocimiento teórico-práctico de las diferentes etapas (contractual, precontractual y pos contractual) que deben ser agotadas para la satisfacción de las necesidades de una entidad. Disponer para ello de personal no competente, puede derivar en el incumplimiento de los fundamentos de la contratación, generando así una serie de errores voluntarios o involuntarios, que pongan en riesgo la gestión contractual y los principios que rigen la materia.</w:t>
            </w:r>
          </w:p>
        </w:tc>
        <w:tc>
          <w:tcPr>
            <w:tcW w:w="440" w:type="pct"/>
            <w:vAlign w:val="center"/>
          </w:tcPr>
          <w:p w:rsidR="001A34C8" w:rsidRPr="00882BF7" w:rsidRDefault="001A34C8" w:rsidP="00B92D73">
            <w:pPr>
              <w:pStyle w:val="Normal0"/>
              <w:jc w:val="both"/>
              <w:rPr>
                <w:sz w:val="12"/>
                <w:szCs w:val="12"/>
              </w:rPr>
            </w:pPr>
            <w:r>
              <w:rPr>
                <w:sz w:val="12"/>
                <w:szCs w:val="12"/>
              </w:rPr>
              <w:t>Mala elaboración de los estudios de necesidad, conveniencia y oportunidad, los cuales son el fundamento para el adecuado desarrollo del proceso contractual, escogencia inadecuada de la modalidad de selección a implementar en el proceso  contractual, escogencia inadecuada del tipo de contrato a celebrar, escogencia inadecuada del contratista o proveedor, determinación inadecuada de las condiciones de participación en un proceso, lo cual trae como consecuencia la no selección objetiva del contratista.</w:t>
            </w:r>
          </w:p>
        </w:tc>
        <w:tc>
          <w:tcPr>
            <w:tcW w:w="247" w:type="pct"/>
            <w:gridSpan w:val="2"/>
            <w:shd w:val="clear" w:color="auto" w:fill="FF0000"/>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Catastrófico</w:t>
            </w:r>
          </w:p>
        </w:tc>
        <w:tc>
          <w:tcPr>
            <w:tcW w:w="255" w:type="pct"/>
            <w:shd w:val="clear" w:color="auto" w:fill="4AB673"/>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Pr>
                <w:rFonts w:ascii="Arial" w:hAnsi="Arial" w:cs="Arial"/>
                <w:sz w:val="12"/>
                <w:szCs w:val="12"/>
              </w:rPr>
              <w:t>Improbable</w:t>
            </w:r>
          </w:p>
        </w:tc>
        <w:tc>
          <w:tcPr>
            <w:tcW w:w="232" w:type="pct"/>
            <w:shd w:val="clear" w:color="auto" w:fill="FFC000"/>
            <w:vAlign w:val="center"/>
          </w:tcPr>
          <w:p w:rsidR="001A34C8" w:rsidRPr="00882BF7" w:rsidRDefault="001A34C8" w:rsidP="00B92D73">
            <w:pPr>
              <w:spacing w:after="100" w:afterAutospacing="1"/>
              <w:jc w:val="center"/>
              <w:rPr>
                <w:rFonts w:ascii="Arial" w:hAnsi="Arial" w:cs="Arial"/>
                <w:sz w:val="12"/>
                <w:szCs w:val="12"/>
              </w:rPr>
            </w:pPr>
          </w:p>
          <w:p w:rsidR="001A34C8" w:rsidRPr="00882BF7" w:rsidRDefault="001A34C8" w:rsidP="00B92D73">
            <w:pPr>
              <w:spacing w:after="100" w:afterAutospacing="1"/>
              <w:jc w:val="center"/>
              <w:rPr>
                <w:rFonts w:ascii="Arial" w:hAnsi="Arial" w:cs="Arial"/>
                <w:sz w:val="12"/>
                <w:szCs w:val="12"/>
              </w:rPr>
            </w:pPr>
            <w:r w:rsidRPr="00882BF7">
              <w:rPr>
                <w:rFonts w:ascii="Arial" w:hAnsi="Arial" w:cs="Arial"/>
                <w:sz w:val="12"/>
                <w:szCs w:val="12"/>
              </w:rPr>
              <w:t>Zona de Riesgo Alta. Reducir el Riesgo. Evitar el riesgo compartir o transferir</w:t>
            </w:r>
          </w:p>
        </w:tc>
        <w:tc>
          <w:tcPr>
            <w:tcW w:w="226" w:type="pct"/>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Preventivo</w:t>
            </w:r>
          </w:p>
        </w:tc>
        <w:tc>
          <w:tcPr>
            <w:tcW w:w="396" w:type="pct"/>
            <w:vAlign w:val="center"/>
          </w:tcPr>
          <w:p w:rsidR="001A34C8" w:rsidRPr="00882BF7" w:rsidRDefault="001A34C8" w:rsidP="00B92D73">
            <w:pPr>
              <w:jc w:val="both"/>
              <w:rPr>
                <w:rFonts w:ascii="Arial" w:hAnsi="Arial" w:cs="Arial"/>
                <w:sz w:val="12"/>
                <w:szCs w:val="12"/>
              </w:rPr>
            </w:pPr>
            <w:r>
              <w:rPr>
                <w:rFonts w:ascii="Arial" w:hAnsi="Arial" w:cs="Arial"/>
                <w:sz w:val="12"/>
                <w:szCs w:val="12"/>
              </w:rPr>
              <w:t>Elegir personal idóneo y competente para llevar a cabo la actividad contractual de la empresa, definir claramente los proceso y procedimientos a llevar a cabo de las diferentes etapas de la actividad contractual, efectuar revisiones y establecer auditorias, realizar seguimiento a la ejecución de los contratos,</w:t>
            </w:r>
          </w:p>
        </w:tc>
        <w:tc>
          <w:tcPr>
            <w:tcW w:w="228" w:type="pct"/>
            <w:shd w:val="clear" w:color="auto" w:fill="FFFF00"/>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Zona de riesgo moderada. Asumir el riesgo. Reducir el riesgo.</w:t>
            </w:r>
          </w:p>
        </w:tc>
        <w:tc>
          <w:tcPr>
            <w:tcW w:w="176"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evitar</w:t>
            </w:r>
          </w:p>
        </w:tc>
        <w:tc>
          <w:tcPr>
            <w:tcW w:w="286" w:type="pct"/>
            <w:vAlign w:val="center"/>
          </w:tcPr>
          <w:p w:rsidR="001A34C8" w:rsidRPr="00882BF7" w:rsidRDefault="001A34C8" w:rsidP="00B92D73">
            <w:pPr>
              <w:jc w:val="both"/>
              <w:rPr>
                <w:rFonts w:ascii="Arial" w:hAnsi="Arial" w:cs="Arial"/>
                <w:sz w:val="12"/>
                <w:szCs w:val="12"/>
              </w:rPr>
            </w:pPr>
            <w:r>
              <w:rPr>
                <w:rFonts w:ascii="Arial" w:hAnsi="Arial" w:cs="Arial"/>
                <w:sz w:val="12"/>
                <w:szCs w:val="12"/>
              </w:rPr>
              <w:t xml:space="preserve">Brindar capacitación al personal que ejerce la supervisión </w:t>
            </w:r>
          </w:p>
        </w:tc>
        <w:tc>
          <w:tcPr>
            <w:tcW w:w="308"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Listado de asistencia de los funcionarios a las capacitaciones y memorias</w:t>
            </w:r>
          </w:p>
        </w:tc>
        <w:tc>
          <w:tcPr>
            <w:tcW w:w="269"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Jefe de oficina jurídica</w:t>
            </w:r>
          </w:p>
        </w:tc>
        <w:tc>
          <w:tcPr>
            <w:tcW w:w="383"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Semestral</w:t>
            </w:r>
          </w:p>
        </w:tc>
      </w:tr>
      <w:tr w:rsidR="006833EC" w:rsidRPr="00882BF7" w:rsidTr="006833EC">
        <w:trPr>
          <w:cantSplit/>
        </w:trPr>
        <w:tc>
          <w:tcPr>
            <w:tcW w:w="128"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4</w:t>
            </w:r>
          </w:p>
        </w:tc>
        <w:tc>
          <w:tcPr>
            <w:tcW w:w="311"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Tramites y/o servicios internos y externos</w:t>
            </w:r>
            <w:r>
              <w:rPr>
                <w:rFonts w:ascii="Arial" w:hAnsi="Arial" w:cs="Arial"/>
                <w:sz w:val="12"/>
                <w:szCs w:val="12"/>
              </w:rPr>
              <w:t xml:space="preserve"> (GI)</w:t>
            </w:r>
          </w:p>
        </w:tc>
        <w:tc>
          <w:tcPr>
            <w:tcW w:w="413" w:type="pct"/>
            <w:vAlign w:val="center"/>
          </w:tcPr>
          <w:p w:rsidR="001A34C8" w:rsidRPr="00882BF7" w:rsidRDefault="001A34C8" w:rsidP="00B92D73">
            <w:pPr>
              <w:pStyle w:val="Normal0"/>
              <w:jc w:val="center"/>
              <w:rPr>
                <w:sz w:val="12"/>
                <w:szCs w:val="12"/>
              </w:rPr>
            </w:pPr>
            <w:r w:rsidRPr="00882BF7">
              <w:rPr>
                <w:sz w:val="12"/>
                <w:szCs w:val="12"/>
              </w:rPr>
              <w:t>Influencia de particulares en la decisión acorde con intereses personales, Los programas se concentran en pocos funcionarios permitiendo que solo ellos manejen la información.</w:t>
            </w:r>
          </w:p>
        </w:tc>
        <w:tc>
          <w:tcPr>
            <w:tcW w:w="297" w:type="pct"/>
            <w:vAlign w:val="center"/>
          </w:tcPr>
          <w:p w:rsidR="001A34C8" w:rsidRPr="00882BF7" w:rsidRDefault="001A34C8" w:rsidP="00B92D73">
            <w:pPr>
              <w:jc w:val="center"/>
              <w:rPr>
                <w:rFonts w:ascii="Arial" w:hAnsi="Arial" w:cs="Arial"/>
                <w:sz w:val="12"/>
                <w:szCs w:val="12"/>
              </w:rPr>
            </w:pPr>
            <w:r w:rsidRPr="00882BF7">
              <w:rPr>
                <w:rFonts w:ascii="Arial" w:hAnsi="Arial"/>
                <w:sz w:val="12"/>
                <w:szCs w:val="12"/>
              </w:rPr>
              <w:t>Tráfico de influencias, (amiguismo, persona influyente).</w:t>
            </w:r>
          </w:p>
        </w:tc>
        <w:tc>
          <w:tcPr>
            <w:tcW w:w="403" w:type="pct"/>
            <w:vAlign w:val="center"/>
          </w:tcPr>
          <w:p w:rsidR="001A34C8" w:rsidRPr="00882BF7" w:rsidRDefault="001A34C8" w:rsidP="00B92D73">
            <w:pPr>
              <w:jc w:val="center"/>
              <w:rPr>
                <w:rFonts w:ascii="Arial" w:hAnsi="Arial" w:cs="Arial"/>
                <w:sz w:val="12"/>
                <w:szCs w:val="12"/>
              </w:rPr>
            </w:pPr>
            <w:r w:rsidRPr="00882BF7">
              <w:rPr>
                <w:rFonts w:ascii="Arial" w:hAnsi="Arial"/>
                <w:sz w:val="12"/>
                <w:szCs w:val="12"/>
              </w:rPr>
              <w:t>Favorecimiento a particulares en la prestación de servicios o realización de trámites</w:t>
            </w:r>
          </w:p>
        </w:tc>
        <w:tc>
          <w:tcPr>
            <w:tcW w:w="440"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Pérdida de confianza en la entidad, denuncias ciudadanas, incumplimiento al plan de desarrollo, no se obtienen los resultados esperados en los programas implementados, denuncias ciudadanas.</w:t>
            </w:r>
          </w:p>
        </w:tc>
        <w:tc>
          <w:tcPr>
            <w:tcW w:w="247" w:type="pct"/>
            <w:gridSpan w:val="2"/>
            <w:shd w:val="clear" w:color="auto" w:fill="FF0000"/>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Catastrófico</w:t>
            </w:r>
          </w:p>
        </w:tc>
        <w:tc>
          <w:tcPr>
            <w:tcW w:w="255" w:type="pct"/>
            <w:shd w:val="clear" w:color="auto" w:fill="4AB673"/>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Improbable</w:t>
            </w:r>
          </w:p>
        </w:tc>
        <w:tc>
          <w:tcPr>
            <w:tcW w:w="232" w:type="pct"/>
            <w:shd w:val="clear" w:color="auto" w:fill="FFC000" w:themeFill="accent4"/>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Zona de Riesgo Alta. Reducir el Riesgo. Evitar el riesgo compartir o transferir</w:t>
            </w:r>
          </w:p>
        </w:tc>
        <w:tc>
          <w:tcPr>
            <w:tcW w:w="226" w:type="pct"/>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Preventivo</w:t>
            </w:r>
          </w:p>
        </w:tc>
        <w:tc>
          <w:tcPr>
            <w:tcW w:w="396" w:type="pct"/>
            <w:vAlign w:val="center"/>
          </w:tcPr>
          <w:p w:rsidR="001A34C8" w:rsidRPr="00882BF7" w:rsidRDefault="001A34C8" w:rsidP="00B92D73">
            <w:pPr>
              <w:jc w:val="both"/>
              <w:rPr>
                <w:rFonts w:ascii="Arial" w:hAnsi="Arial" w:cs="Arial"/>
                <w:sz w:val="12"/>
                <w:szCs w:val="12"/>
              </w:rPr>
            </w:pPr>
            <w:r w:rsidRPr="00882BF7">
              <w:rPr>
                <w:rFonts w:ascii="Arial" w:hAnsi="Arial" w:cs="Arial"/>
                <w:sz w:val="12"/>
                <w:szCs w:val="12"/>
              </w:rPr>
              <w:t>Procedimientos estandarizados, reuniones periódicas para realizar evaluación y seguimiento, las evidencias de los procesos se llevan a cabo como datos en la nube, permitiendo así el autocontrol entre ellos</w:t>
            </w:r>
          </w:p>
        </w:tc>
        <w:tc>
          <w:tcPr>
            <w:tcW w:w="228" w:type="pct"/>
            <w:shd w:val="clear" w:color="auto" w:fill="FFFF00"/>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Zona de riesgo moderada. Asumir el riesgo. Reducir el riesgo</w:t>
            </w:r>
          </w:p>
        </w:tc>
        <w:tc>
          <w:tcPr>
            <w:tcW w:w="176"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evitar</w:t>
            </w:r>
          </w:p>
        </w:tc>
        <w:tc>
          <w:tcPr>
            <w:tcW w:w="286"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Sensibilizar a los funcionarios que manejan el proceso: sobre temas relacionados con la prevención de la corrupción: ética y don del servicio.</w:t>
            </w:r>
          </w:p>
        </w:tc>
        <w:tc>
          <w:tcPr>
            <w:tcW w:w="308"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 xml:space="preserve">Mapas de riesgo administrativo y de corrupción </w:t>
            </w:r>
          </w:p>
        </w:tc>
        <w:tc>
          <w:tcPr>
            <w:tcW w:w="269"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El responsable del proceso</w:t>
            </w:r>
          </w:p>
        </w:tc>
        <w:tc>
          <w:tcPr>
            <w:tcW w:w="383"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Semestral</w:t>
            </w:r>
          </w:p>
        </w:tc>
      </w:tr>
      <w:tr w:rsidR="006833EC" w:rsidRPr="00882BF7" w:rsidTr="006833EC">
        <w:trPr>
          <w:cantSplit/>
        </w:trPr>
        <w:tc>
          <w:tcPr>
            <w:tcW w:w="128"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5</w:t>
            </w:r>
          </w:p>
        </w:tc>
        <w:tc>
          <w:tcPr>
            <w:tcW w:w="311"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Administración de la información</w:t>
            </w:r>
            <w:r>
              <w:rPr>
                <w:rFonts w:ascii="Arial" w:hAnsi="Arial" w:cs="Arial"/>
                <w:sz w:val="12"/>
                <w:szCs w:val="12"/>
              </w:rPr>
              <w:t xml:space="preserve"> (GI)</w:t>
            </w:r>
          </w:p>
        </w:tc>
        <w:tc>
          <w:tcPr>
            <w:tcW w:w="413" w:type="pct"/>
            <w:vAlign w:val="center"/>
          </w:tcPr>
          <w:p w:rsidR="001A34C8" w:rsidRPr="004868DD" w:rsidRDefault="001A34C8" w:rsidP="00B92D73">
            <w:pPr>
              <w:pStyle w:val="Normal0"/>
              <w:jc w:val="both"/>
              <w:rPr>
                <w:sz w:val="12"/>
                <w:szCs w:val="12"/>
              </w:rPr>
            </w:pPr>
            <w:r w:rsidRPr="004868DD">
              <w:rPr>
                <w:sz w:val="12"/>
                <w:szCs w:val="12"/>
              </w:rPr>
              <w:t>Interés de obtener un beneficio particular o de terceros,</w:t>
            </w:r>
          </w:p>
          <w:p w:rsidR="001A34C8" w:rsidRPr="004868DD" w:rsidRDefault="001A34C8" w:rsidP="00B92D73">
            <w:pPr>
              <w:pStyle w:val="Normal0"/>
              <w:spacing w:line="360" w:lineRule="auto"/>
              <w:jc w:val="both"/>
              <w:rPr>
                <w:sz w:val="12"/>
                <w:szCs w:val="12"/>
              </w:rPr>
            </w:pPr>
            <w:r w:rsidRPr="004868DD">
              <w:rPr>
                <w:sz w:val="12"/>
                <w:szCs w:val="12"/>
              </w:rPr>
              <w:t>Influencias de particulares en la decisión de alterar los documentos oficiales de la entidad, desconocimiento por parte de los funcionarios en el proceso de la información que se gestiona en la entidad.</w:t>
            </w:r>
          </w:p>
        </w:tc>
        <w:tc>
          <w:tcPr>
            <w:tcW w:w="297" w:type="pct"/>
            <w:vAlign w:val="center"/>
          </w:tcPr>
          <w:p w:rsidR="001A34C8" w:rsidRPr="006F78CE" w:rsidRDefault="001A34C8" w:rsidP="00B92D73">
            <w:pPr>
              <w:jc w:val="center"/>
              <w:rPr>
                <w:rFonts w:ascii="Arial" w:hAnsi="Arial" w:cs="Arial"/>
                <w:color w:val="FF0000"/>
                <w:sz w:val="12"/>
                <w:szCs w:val="12"/>
              </w:rPr>
            </w:pPr>
            <w:r w:rsidRPr="002A6383">
              <w:rPr>
                <w:rFonts w:ascii="Arial" w:hAnsi="Arial" w:cs="Arial"/>
                <w:sz w:val="12"/>
                <w:szCs w:val="12"/>
              </w:rPr>
              <w:t>Ocultar o alterar documentos oficiales de la entidad</w:t>
            </w:r>
          </w:p>
        </w:tc>
        <w:tc>
          <w:tcPr>
            <w:tcW w:w="403"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Ocultamiento o alteración de documentos oficiales de la entidad</w:t>
            </w:r>
          </w:p>
        </w:tc>
        <w:tc>
          <w:tcPr>
            <w:tcW w:w="440"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Afecta la imagen institucional, denuncias y sanciones, pérdida de credibilidad y confianza en los funcionarios públicos</w:t>
            </w:r>
          </w:p>
        </w:tc>
        <w:tc>
          <w:tcPr>
            <w:tcW w:w="247" w:type="pct"/>
            <w:gridSpan w:val="2"/>
            <w:shd w:val="clear" w:color="auto" w:fill="FFC000" w:themeFill="accent4"/>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Mayor</w:t>
            </w:r>
          </w:p>
        </w:tc>
        <w:tc>
          <w:tcPr>
            <w:tcW w:w="255" w:type="pct"/>
            <w:shd w:val="clear" w:color="auto" w:fill="70AD47" w:themeFill="accent6"/>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Rara vez</w:t>
            </w:r>
          </w:p>
        </w:tc>
        <w:tc>
          <w:tcPr>
            <w:tcW w:w="232" w:type="pct"/>
            <w:shd w:val="clear" w:color="auto" w:fill="70AD47" w:themeFill="accent6"/>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Zona de Riesgo baja. Asumir el Riesgo.</w:t>
            </w:r>
          </w:p>
        </w:tc>
        <w:tc>
          <w:tcPr>
            <w:tcW w:w="226" w:type="pct"/>
            <w:vAlign w:val="center"/>
          </w:tcPr>
          <w:p w:rsidR="001A34C8" w:rsidRPr="00882BF7"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sidRPr="00882BF7">
              <w:rPr>
                <w:rFonts w:ascii="Arial" w:hAnsi="Arial" w:cs="Arial"/>
                <w:sz w:val="12"/>
                <w:szCs w:val="12"/>
              </w:rPr>
              <w:t>Preventivo</w:t>
            </w:r>
          </w:p>
        </w:tc>
        <w:tc>
          <w:tcPr>
            <w:tcW w:w="396" w:type="pct"/>
            <w:vAlign w:val="center"/>
          </w:tcPr>
          <w:p w:rsidR="001A34C8" w:rsidRPr="00882BF7" w:rsidRDefault="001A34C8" w:rsidP="00B92D73">
            <w:pPr>
              <w:jc w:val="both"/>
              <w:rPr>
                <w:rFonts w:ascii="Arial" w:hAnsi="Arial" w:cs="Arial"/>
                <w:sz w:val="12"/>
                <w:szCs w:val="12"/>
              </w:rPr>
            </w:pPr>
            <w:r w:rsidRPr="00882BF7">
              <w:rPr>
                <w:rFonts w:ascii="Arial" w:hAnsi="Arial" w:cs="Arial"/>
                <w:sz w:val="12"/>
                <w:szCs w:val="12"/>
              </w:rPr>
              <w:t>Cumplimiento con el proceso de información, registrar y radicar toda la información de la entidad, cumplir con una correcta distribución de la información en la entidad</w:t>
            </w:r>
            <w:r>
              <w:rPr>
                <w:rFonts w:ascii="Arial" w:hAnsi="Arial" w:cs="Arial"/>
                <w:sz w:val="12"/>
                <w:szCs w:val="12"/>
              </w:rPr>
              <w:t xml:space="preserve">, realizar Backus de la información de los funcionarios con periodicidad mensual, escanear las carpetas que contienen la historia laboral de cada uno de los funcionarios que han trabajado en la agencia desde su creación. </w:t>
            </w:r>
          </w:p>
        </w:tc>
        <w:tc>
          <w:tcPr>
            <w:tcW w:w="228" w:type="pct"/>
            <w:shd w:val="clear" w:color="auto" w:fill="FFFF00"/>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Zona de riesgo moderada. Asumir el riesgo. Reducir el riesgo</w:t>
            </w:r>
          </w:p>
        </w:tc>
        <w:tc>
          <w:tcPr>
            <w:tcW w:w="176"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evitar</w:t>
            </w:r>
          </w:p>
        </w:tc>
        <w:tc>
          <w:tcPr>
            <w:tcW w:w="286"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Capacitar a los funcionarios de gestión documental en el código único disciplinario y delitos contra la administración pública y estrategias de corrupción.</w:t>
            </w:r>
          </w:p>
        </w:tc>
        <w:tc>
          <w:tcPr>
            <w:tcW w:w="308"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 xml:space="preserve">Base de datos radicada con la información enviada y recibida de la entidad, archivo escaneado con las hojas de vida de los funcionarios, actas y  Listado de asistencia de los funcionarios a las capacitaciones </w:t>
            </w:r>
          </w:p>
        </w:tc>
        <w:tc>
          <w:tcPr>
            <w:tcW w:w="269"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Los responsables del proceso</w:t>
            </w:r>
          </w:p>
        </w:tc>
        <w:tc>
          <w:tcPr>
            <w:tcW w:w="383"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Semestral</w:t>
            </w:r>
          </w:p>
        </w:tc>
      </w:tr>
      <w:tr w:rsidR="006833EC" w:rsidRPr="00882BF7" w:rsidTr="006833EC">
        <w:trPr>
          <w:cantSplit/>
        </w:trPr>
        <w:tc>
          <w:tcPr>
            <w:tcW w:w="128"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lastRenderedPageBreak/>
              <w:t>6</w:t>
            </w:r>
          </w:p>
        </w:tc>
        <w:tc>
          <w:tcPr>
            <w:tcW w:w="311"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Empleo y emprendimiento</w:t>
            </w:r>
            <w:r>
              <w:rPr>
                <w:rFonts w:ascii="Arial" w:hAnsi="Arial" w:cs="Arial"/>
                <w:sz w:val="12"/>
                <w:szCs w:val="12"/>
              </w:rPr>
              <w:t xml:space="preserve"> (DE)</w:t>
            </w:r>
          </w:p>
        </w:tc>
        <w:tc>
          <w:tcPr>
            <w:tcW w:w="413" w:type="pct"/>
            <w:vAlign w:val="center"/>
          </w:tcPr>
          <w:p w:rsidR="001A34C8" w:rsidRPr="004868DD" w:rsidRDefault="001A34C8" w:rsidP="00B92D73">
            <w:pPr>
              <w:pStyle w:val="Normal0"/>
              <w:jc w:val="center"/>
              <w:rPr>
                <w:sz w:val="12"/>
                <w:szCs w:val="12"/>
              </w:rPr>
            </w:pPr>
            <w:r w:rsidRPr="004868DD">
              <w:rPr>
                <w:sz w:val="12"/>
                <w:szCs w:val="12"/>
              </w:rPr>
              <w:t>- Influencia de particulares en la decisión de envío de las hojas de vida acorde con intereses personales, Desconocimiento por parte del usuario y de los funcionarios de la gratuidad del servicio y la accesibilidad al empleo por méritos,</w:t>
            </w:r>
          </w:p>
        </w:tc>
        <w:tc>
          <w:tcPr>
            <w:tcW w:w="297"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I</w:t>
            </w:r>
            <w:r>
              <w:rPr>
                <w:rFonts w:ascii="Arial" w:hAnsi="Arial" w:cs="Arial"/>
                <w:sz w:val="12"/>
                <w:szCs w:val="12"/>
              </w:rPr>
              <w:t>ntromisión</w:t>
            </w:r>
            <w:r w:rsidRPr="00882BF7">
              <w:rPr>
                <w:rFonts w:ascii="Arial" w:hAnsi="Arial" w:cs="Arial"/>
                <w:sz w:val="12"/>
                <w:szCs w:val="12"/>
              </w:rPr>
              <w:t xml:space="preserve"> de terceros ajenos al proceso de intermediación laboral</w:t>
            </w:r>
          </w:p>
        </w:tc>
        <w:tc>
          <w:tcPr>
            <w:tcW w:w="403" w:type="pct"/>
            <w:vAlign w:val="center"/>
          </w:tcPr>
          <w:p w:rsidR="001A34C8" w:rsidRPr="00371209" w:rsidRDefault="001A34C8" w:rsidP="00B92D73">
            <w:pPr>
              <w:jc w:val="center"/>
              <w:rPr>
                <w:rFonts w:ascii="Arial" w:hAnsi="Arial" w:cs="Arial"/>
                <w:sz w:val="12"/>
                <w:szCs w:val="12"/>
              </w:rPr>
            </w:pPr>
            <w:r w:rsidRPr="00371209">
              <w:rPr>
                <w:rFonts w:ascii="Arial" w:hAnsi="Arial" w:cs="Arial"/>
                <w:sz w:val="12"/>
                <w:szCs w:val="12"/>
              </w:rPr>
              <w:t>intereses particulares en el proceso de intermediación laboral para la selección de candidatos a postular para una vacante de empleo</w:t>
            </w:r>
          </w:p>
        </w:tc>
        <w:tc>
          <w:tcPr>
            <w:tcW w:w="440" w:type="pct"/>
            <w:vAlign w:val="center"/>
          </w:tcPr>
          <w:p w:rsidR="001A34C8" w:rsidRPr="00371209" w:rsidRDefault="001A34C8" w:rsidP="00B92D73">
            <w:pPr>
              <w:jc w:val="center"/>
              <w:rPr>
                <w:rFonts w:ascii="Arial" w:hAnsi="Arial" w:cs="Arial"/>
                <w:sz w:val="12"/>
                <w:szCs w:val="12"/>
              </w:rPr>
            </w:pPr>
            <w:r w:rsidRPr="00371209">
              <w:rPr>
                <w:rFonts w:ascii="Arial" w:hAnsi="Arial" w:cs="Arial"/>
                <w:sz w:val="12"/>
                <w:szCs w:val="12"/>
              </w:rPr>
              <w:t>Denuncias ciudadanas por intermediación laboral incorrecta, Incumplimiento a los requerimientos de empresarios e investigación de los entes de control</w:t>
            </w:r>
          </w:p>
        </w:tc>
        <w:tc>
          <w:tcPr>
            <w:tcW w:w="247" w:type="pct"/>
            <w:gridSpan w:val="2"/>
            <w:shd w:val="clear" w:color="auto" w:fill="FFFF00"/>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Moderado</w:t>
            </w:r>
          </w:p>
        </w:tc>
        <w:tc>
          <w:tcPr>
            <w:tcW w:w="255" w:type="pct"/>
            <w:shd w:val="clear" w:color="auto" w:fill="FFC000"/>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Probable</w:t>
            </w:r>
          </w:p>
        </w:tc>
        <w:tc>
          <w:tcPr>
            <w:tcW w:w="232" w:type="pct"/>
            <w:shd w:val="clear" w:color="auto" w:fill="FFFF00"/>
            <w:vAlign w:val="center"/>
          </w:tcPr>
          <w:p w:rsidR="001A34C8" w:rsidRPr="00882BF7" w:rsidRDefault="001A34C8" w:rsidP="00B92D73">
            <w:pPr>
              <w:jc w:val="center"/>
              <w:rPr>
                <w:rFonts w:ascii="Arial" w:hAnsi="Arial" w:cs="Arial"/>
                <w:sz w:val="12"/>
                <w:szCs w:val="12"/>
              </w:rPr>
            </w:pPr>
            <w:r w:rsidRPr="00371209">
              <w:rPr>
                <w:rFonts w:ascii="Arial" w:hAnsi="Arial" w:cs="Arial"/>
                <w:sz w:val="12"/>
                <w:szCs w:val="12"/>
              </w:rPr>
              <w:t>Zona de riesgo moderada. Asumir el riesgo. Reducir el riesgo</w:t>
            </w:r>
          </w:p>
        </w:tc>
        <w:tc>
          <w:tcPr>
            <w:tcW w:w="226"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preventivo</w:t>
            </w:r>
          </w:p>
        </w:tc>
        <w:tc>
          <w:tcPr>
            <w:tcW w:w="396"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Procedimiento estandarizado de orientación de servicios, vocacional e intermediación laboral para el buscador de empleo,</w:t>
            </w:r>
            <w:r w:rsidRPr="00882BF7">
              <w:rPr>
                <w:rFonts w:ascii="Arial" w:hAnsi="Arial"/>
                <w:sz w:val="12"/>
                <w:szCs w:val="12"/>
              </w:rPr>
              <w:t xml:space="preserve"> Existencia de un Comité para revisión de los procedimientos y resultados</w:t>
            </w:r>
          </w:p>
        </w:tc>
        <w:tc>
          <w:tcPr>
            <w:tcW w:w="228" w:type="pct"/>
            <w:shd w:val="clear" w:color="auto" w:fill="70AD47" w:themeFill="accent6"/>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Zona de Riesgo baja. Asumir el Riesgo</w:t>
            </w:r>
          </w:p>
        </w:tc>
        <w:tc>
          <w:tcPr>
            <w:tcW w:w="176"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evitar</w:t>
            </w:r>
          </w:p>
        </w:tc>
        <w:tc>
          <w:tcPr>
            <w:tcW w:w="286" w:type="pct"/>
            <w:vAlign w:val="center"/>
          </w:tcPr>
          <w:p w:rsidR="001A34C8" w:rsidRPr="00882BF7" w:rsidRDefault="001A34C8" w:rsidP="00B92D73">
            <w:pPr>
              <w:jc w:val="center"/>
              <w:rPr>
                <w:rFonts w:ascii="Arial" w:hAnsi="Arial" w:cs="Arial"/>
                <w:sz w:val="12"/>
                <w:szCs w:val="12"/>
              </w:rPr>
            </w:pPr>
            <w:r w:rsidRPr="00882BF7">
              <w:rPr>
                <w:rFonts w:ascii="Arial" w:hAnsi="Arial" w:cs="Arial"/>
                <w:sz w:val="12"/>
                <w:szCs w:val="12"/>
              </w:rPr>
              <w:t>Capacitar a los funcionarios en el código único disciplinario y delitos contra la administración pública y estrategias de corrupción</w:t>
            </w:r>
          </w:p>
        </w:tc>
        <w:tc>
          <w:tcPr>
            <w:tcW w:w="308"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Listado de asistencia de los funcionarios y memorias, reglamento centro de empleo por cargo</w:t>
            </w:r>
          </w:p>
        </w:tc>
        <w:tc>
          <w:tcPr>
            <w:tcW w:w="269"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El responsable del proceso</w:t>
            </w:r>
          </w:p>
        </w:tc>
        <w:tc>
          <w:tcPr>
            <w:tcW w:w="383" w:type="pct"/>
            <w:vAlign w:val="center"/>
          </w:tcPr>
          <w:p w:rsidR="001A34C8" w:rsidRPr="00882BF7" w:rsidRDefault="001A34C8" w:rsidP="00B92D73">
            <w:pPr>
              <w:jc w:val="center"/>
              <w:rPr>
                <w:rFonts w:ascii="Arial" w:hAnsi="Arial" w:cs="Arial"/>
                <w:sz w:val="12"/>
                <w:szCs w:val="12"/>
              </w:rPr>
            </w:pPr>
            <w:r>
              <w:rPr>
                <w:rFonts w:ascii="Arial" w:hAnsi="Arial" w:cs="Arial"/>
                <w:sz w:val="12"/>
                <w:szCs w:val="12"/>
              </w:rPr>
              <w:t>semestral</w:t>
            </w:r>
          </w:p>
        </w:tc>
      </w:tr>
      <w:tr w:rsidR="006833EC" w:rsidRPr="00882BF7" w:rsidTr="006833EC">
        <w:trPr>
          <w:cantSplit/>
        </w:trPr>
        <w:tc>
          <w:tcPr>
            <w:tcW w:w="128"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Pr>
                <w:rFonts w:ascii="Arial" w:hAnsi="Arial" w:cs="Arial"/>
                <w:sz w:val="12"/>
                <w:szCs w:val="12"/>
              </w:rPr>
              <w:t>7</w:t>
            </w:r>
          </w:p>
        </w:tc>
        <w:tc>
          <w:tcPr>
            <w:tcW w:w="311"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Pr>
                <w:rFonts w:ascii="Arial" w:hAnsi="Arial" w:cs="Arial"/>
                <w:sz w:val="12"/>
                <w:szCs w:val="12"/>
              </w:rPr>
              <w:t>Talento Humano</w:t>
            </w:r>
          </w:p>
        </w:tc>
        <w:tc>
          <w:tcPr>
            <w:tcW w:w="413" w:type="pct"/>
            <w:vAlign w:val="center"/>
          </w:tcPr>
          <w:p w:rsidR="001A34C8" w:rsidRDefault="001A34C8" w:rsidP="00B92D73">
            <w:pPr>
              <w:pStyle w:val="Normal0"/>
              <w:jc w:val="center"/>
              <w:rPr>
                <w:sz w:val="12"/>
                <w:szCs w:val="12"/>
              </w:rPr>
            </w:pPr>
          </w:p>
          <w:p w:rsidR="001A34C8" w:rsidRPr="004868DD" w:rsidRDefault="001A34C8" w:rsidP="00B92D73">
            <w:pPr>
              <w:pStyle w:val="Normal0"/>
              <w:jc w:val="center"/>
              <w:rPr>
                <w:sz w:val="12"/>
                <w:szCs w:val="12"/>
              </w:rPr>
            </w:pPr>
            <w:r>
              <w:rPr>
                <w:sz w:val="12"/>
                <w:szCs w:val="12"/>
              </w:rPr>
              <w:t>Pagar y dejar pagar conceptos normativos, no contar con un manual normativo actualizado, falta de actualización del software de la agencia</w:t>
            </w:r>
          </w:p>
        </w:tc>
        <w:tc>
          <w:tcPr>
            <w:tcW w:w="297" w:type="pct"/>
            <w:vAlign w:val="center"/>
          </w:tcPr>
          <w:p w:rsidR="001A34C8" w:rsidRDefault="001A34C8" w:rsidP="00B92D73">
            <w:pPr>
              <w:jc w:val="both"/>
              <w:rPr>
                <w:rFonts w:ascii="Arial" w:hAnsi="Arial" w:cs="Arial"/>
                <w:color w:val="000000"/>
                <w:sz w:val="12"/>
                <w:szCs w:val="12"/>
              </w:rPr>
            </w:pPr>
          </w:p>
          <w:p w:rsidR="001A34C8" w:rsidRPr="00882BF7" w:rsidRDefault="001A34C8" w:rsidP="00B92D73">
            <w:pPr>
              <w:pStyle w:val="Normal0"/>
              <w:spacing w:line="360" w:lineRule="auto"/>
              <w:jc w:val="both"/>
              <w:rPr>
                <w:sz w:val="12"/>
                <w:szCs w:val="12"/>
              </w:rPr>
            </w:pPr>
            <w:r>
              <w:rPr>
                <w:sz w:val="12"/>
                <w:szCs w:val="12"/>
              </w:rPr>
              <w:t>Posible pago inexacto a los servidores públicos.</w:t>
            </w:r>
          </w:p>
        </w:tc>
        <w:tc>
          <w:tcPr>
            <w:tcW w:w="403" w:type="pct"/>
            <w:vAlign w:val="center"/>
          </w:tcPr>
          <w:p w:rsidR="001A34C8" w:rsidRDefault="001A34C8" w:rsidP="00B92D73">
            <w:pPr>
              <w:pStyle w:val="Normal0"/>
              <w:spacing w:line="360" w:lineRule="auto"/>
              <w:rPr>
                <w:sz w:val="12"/>
                <w:szCs w:val="12"/>
              </w:rPr>
            </w:pPr>
          </w:p>
          <w:p w:rsidR="001A34C8" w:rsidRPr="00371209" w:rsidRDefault="001A34C8" w:rsidP="00B92D73">
            <w:pPr>
              <w:pStyle w:val="Normal0"/>
              <w:spacing w:line="360" w:lineRule="auto"/>
              <w:rPr>
                <w:sz w:val="12"/>
                <w:szCs w:val="12"/>
              </w:rPr>
            </w:pPr>
            <w:r>
              <w:rPr>
                <w:sz w:val="12"/>
                <w:szCs w:val="12"/>
              </w:rPr>
              <w:t>Realizar pago de nóminas y liquidaciones no acordes a las ultimas legislaciones laborales para funcionarios públicos.</w:t>
            </w:r>
          </w:p>
        </w:tc>
        <w:tc>
          <w:tcPr>
            <w:tcW w:w="440" w:type="pct"/>
            <w:vAlign w:val="center"/>
          </w:tcPr>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Pr="00371209" w:rsidRDefault="001A34C8" w:rsidP="00B92D73">
            <w:pPr>
              <w:rPr>
                <w:rFonts w:ascii="Arial" w:hAnsi="Arial" w:cs="Arial"/>
                <w:sz w:val="12"/>
                <w:szCs w:val="12"/>
              </w:rPr>
            </w:pPr>
            <w:r>
              <w:rPr>
                <w:rFonts w:ascii="Arial" w:hAnsi="Arial" w:cs="Arial"/>
                <w:sz w:val="12"/>
                <w:szCs w:val="12"/>
              </w:rPr>
              <w:t>Denuncias y Sanciones</w:t>
            </w:r>
          </w:p>
        </w:tc>
        <w:tc>
          <w:tcPr>
            <w:tcW w:w="247" w:type="pct"/>
            <w:gridSpan w:val="2"/>
            <w:shd w:val="clear" w:color="auto" w:fill="FFFF00"/>
            <w:vAlign w:val="center"/>
          </w:tcPr>
          <w:p w:rsidR="001A34C8" w:rsidRPr="00EE2E3F" w:rsidRDefault="001A34C8" w:rsidP="00B92D73">
            <w:pPr>
              <w:jc w:val="center"/>
              <w:rPr>
                <w:rFonts w:ascii="Arial" w:hAnsi="Arial" w:cs="Arial"/>
                <w:sz w:val="12"/>
                <w:szCs w:val="12"/>
              </w:rPr>
            </w:pPr>
          </w:p>
          <w:p w:rsidR="001A34C8" w:rsidRPr="00EE2E3F" w:rsidRDefault="001A34C8" w:rsidP="00B92D73">
            <w:pPr>
              <w:jc w:val="center"/>
              <w:rPr>
                <w:rFonts w:ascii="Arial" w:hAnsi="Arial" w:cs="Arial"/>
                <w:sz w:val="12"/>
                <w:szCs w:val="12"/>
              </w:rPr>
            </w:pPr>
          </w:p>
          <w:p w:rsidR="001A34C8" w:rsidRPr="00EE2E3F" w:rsidRDefault="001A34C8" w:rsidP="00B92D73">
            <w:pPr>
              <w:jc w:val="center"/>
              <w:rPr>
                <w:rFonts w:ascii="Arial" w:hAnsi="Arial" w:cs="Arial"/>
                <w:sz w:val="12"/>
                <w:szCs w:val="12"/>
              </w:rPr>
            </w:pPr>
          </w:p>
          <w:p w:rsidR="001A34C8" w:rsidRPr="00EE2E3F" w:rsidRDefault="001A34C8" w:rsidP="00B92D73">
            <w:pPr>
              <w:jc w:val="center"/>
              <w:rPr>
                <w:rFonts w:ascii="Arial" w:hAnsi="Arial" w:cs="Arial"/>
                <w:sz w:val="12"/>
                <w:szCs w:val="12"/>
              </w:rPr>
            </w:pPr>
          </w:p>
          <w:p w:rsidR="001A34C8" w:rsidRPr="00EE2E3F" w:rsidRDefault="001A34C8" w:rsidP="00B92D73">
            <w:pPr>
              <w:jc w:val="center"/>
              <w:rPr>
                <w:rFonts w:ascii="Arial" w:hAnsi="Arial" w:cs="Arial"/>
                <w:sz w:val="12"/>
                <w:szCs w:val="12"/>
              </w:rPr>
            </w:pPr>
          </w:p>
          <w:p w:rsidR="001A34C8" w:rsidRPr="00EE2E3F" w:rsidRDefault="001A34C8" w:rsidP="00B92D73">
            <w:pPr>
              <w:jc w:val="center"/>
              <w:rPr>
                <w:rFonts w:ascii="Arial" w:hAnsi="Arial" w:cs="Arial"/>
                <w:sz w:val="12"/>
                <w:szCs w:val="12"/>
              </w:rPr>
            </w:pPr>
          </w:p>
          <w:p w:rsidR="001A34C8" w:rsidRPr="00EE2E3F" w:rsidRDefault="001A34C8" w:rsidP="00B92D73">
            <w:pPr>
              <w:rPr>
                <w:rFonts w:ascii="Arial" w:hAnsi="Arial" w:cs="Arial"/>
                <w:sz w:val="12"/>
                <w:szCs w:val="12"/>
              </w:rPr>
            </w:pPr>
            <w:r>
              <w:rPr>
                <w:rFonts w:ascii="Arial" w:hAnsi="Arial" w:cs="Arial"/>
                <w:sz w:val="12"/>
                <w:szCs w:val="12"/>
              </w:rPr>
              <w:t xml:space="preserve">   </w:t>
            </w:r>
            <w:r w:rsidRPr="00EE2E3F">
              <w:rPr>
                <w:rFonts w:ascii="Arial" w:hAnsi="Arial" w:cs="Arial"/>
                <w:sz w:val="12"/>
                <w:szCs w:val="12"/>
              </w:rPr>
              <w:t>Moderado</w:t>
            </w:r>
          </w:p>
        </w:tc>
        <w:tc>
          <w:tcPr>
            <w:tcW w:w="255" w:type="pct"/>
            <w:shd w:val="clear" w:color="auto" w:fill="70AD47" w:themeFill="accent6"/>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 xml:space="preserve">    Rara Vez</w:t>
            </w:r>
          </w:p>
        </w:tc>
        <w:tc>
          <w:tcPr>
            <w:tcW w:w="232" w:type="pct"/>
            <w:shd w:val="clear" w:color="auto" w:fill="FFFF00"/>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sidRPr="00371209">
              <w:rPr>
                <w:rFonts w:ascii="Arial" w:hAnsi="Arial" w:cs="Arial"/>
                <w:sz w:val="12"/>
                <w:szCs w:val="12"/>
              </w:rPr>
              <w:t>Zona de riesgo moderada. Asumir el riesgo. Reducir el riesgo</w:t>
            </w:r>
          </w:p>
        </w:tc>
        <w:tc>
          <w:tcPr>
            <w:tcW w:w="22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 xml:space="preserve">   Preventivo</w:t>
            </w:r>
          </w:p>
        </w:tc>
        <w:tc>
          <w:tcPr>
            <w:tcW w:w="39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Efectuar revisiones periódicas y Establecer Auditoria</w:t>
            </w:r>
          </w:p>
        </w:tc>
        <w:tc>
          <w:tcPr>
            <w:tcW w:w="228" w:type="pct"/>
            <w:shd w:val="clear" w:color="auto" w:fill="70AD47" w:themeFill="accent6"/>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sidRPr="00882BF7">
              <w:rPr>
                <w:rFonts w:ascii="Arial" w:hAnsi="Arial" w:cs="Arial"/>
                <w:sz w:val="12"/>
                <w:szCs w:val="12"/>
              </w:rPr>
              <w:t>Zona de Riesgo baja. Asumir el Riesgo</w:t>
            </w:r>
          </w:p>
        </w:tc>
        <w:tc>
          <w:tcPr>
            <w:tcW w:w="17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r>
              <w:rPr>
                <w:rFonts w:ascii="Arial" w:hAnsi="Arial" w:cs="Arial"/>
                <w:sz w:val="12"/>
                <w:szCs w:val="12"/>
              </w:rPr>
              <w:t xml:space="preserve">   evitar</w:t>
            </w:r>
          </w:p>
          <w:p w:rsidR="001A34C8" w:rsidRPr="00882BF7" w:rsidRDefault="001A34C8" w:rsidP="00B92D73">
            <w:pPr>
              <w:jc w:val="center"/>
              <w:rPr>
                <w:rFonts w:ascii="Arial" w:hAnsi="Arial" w:cs="Arial"/>
                <w:sz w:val="12"/>
                <w:szCs w:val="12"/>
              </w:rPr>
            </w:pPr>
          </w:p>
        </w:tc>
        <w:tc>
          <w:tcPr>
            <w:tcW w:w="28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r>
              <w:rPr>
                <w:rFonts w:ascii="Arial" w:hAnsi="Arial" w:cs="Arial"/>
                <w:sz w:val="12"/>
                <w:szCs w:val="12"/>
              </w:rPr>
              <w:t>Revisar permanente la liquidación de la nómina y obligaciones contraídas para el pago de las mismas.</w:t>
            </w:r>
          </w:p>
          <w:p w:rsidR="001A34C8"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p>
        </w:tc>
        <w:tc>
          <w:tcPr>
            <w:tcW w:w="308"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r>
              <w:rPr>
                <w:rFonts w:ascii="Arial" w:hAnsi="Arial" w:cs="Arial"/>
                <w:sz w:val="12"/>
                <w:szCs w:val="12"/>
              </w:rPr>
              <w:t xml:space="preserve">Liquidación de Nomina </w:t>
            </w:r>
          </w:p>
          <w:p w:rsidR="001A34C8" w:rsidRPr="00882BF7" w:rsidRDefault="001A34C8" w:rsidP="00B92D73">
            <w:pPr>
              <w:jc w:val="center"/>
              <w:rPr>
                <w:rFonts w:ascii="Arial" w:hAnsi="Arial" w:cs="Arial"/>
                <w:sz w:val="12"/>
                <w:szCs w:val="12"/>
              </w:rPr>
            </w:pPr>
          </w:p>
        </w:tc>
        <w:tc>
          <w:tcPr>
            <w:tcW w:w="269"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r>
              <w:rPr>
                <w:rFonts w:ascii="Arial" w:hAnsi="Arial" w:cs="Arial"/>
                <w:sz w:val="12"/>
                <w:szCs w:val="12"/>
              </w:rPr>
              <w:t>El responsable del proceso</w:t>
            </w:r>
          </w:p>
          <w:p w:rsidR="001A34C8" w:rsidRPr="00882BF7" w:rsidRDefault="001A34C8" w:rsidP="00B92D73">
            <w:pPr>
              <w:jc w:val="center"/>
              <w:rPr>
                <w:rFonts w:ascii="Arial" w:hAnsi="Arial" w:cs="Arial"/>
                <w:sz w:val="12"/>
                <w:szCs w:val="12"/>
              </w:rPr>
            </w:pPr>
          </w:p>
        </w:tc>
        <w:tc>
          <w:tcPr>
            <w:tcW w:w="383"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 xml:space="preserve">    Mensual</w:t>
            </w:r>
          </w:p>
        </w:tc>
      </w:tr>
      <w:tr w:rsidR="006833EC" w:rsidRPr="00882BF7" w:rsidTr="006833EC">
        <w:trPr>
          <w:cantSplit/>
        </w:trPr>
        <w:tc>
          <w:tcPr>
            <w:tcW w:w="128"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Pr>
                <w:rFonts w:ascii="Arial" w:hAnsi="Arial" w:cs="Arial"/>
                <w:sz w:val="12"/>
                <w:szCs w:val="12"/>
              </w:rPr>
              <w:t>8</w:t>
            </w:r>
          </w:p>
        </w:tc>
        <w:tc>
          <w:tcPr>
            <w:tcW w:w="311"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Pr>
                <w:rFonts w:ascii="Arial" w:hAnsi="Arial" w:cs="Arial"/>
                <w:sz w:val="12"/>
                <w:szCs w:val="12"/>
              </w:rPr>
              <w:t>Evaluación Independiente</w:t>
            </w:r>
          </w:p>
        </w:tc>
        <w:tc>
          <w:tcPr>
            <w:tcW w:w="413" w:type="pct"/>
            <w:vAlign w:val="center"/>
          </w:tcPr>
          <w:p w:rsidR="001A34C8" w:rsidRDefault="001A34C8" w:rsidP="00B92D73">
            <w:pPr>
              <w:pStyle w:val="Normal0"/>
              <w:jc w:val="center"/>
              <w:rPr>
                <w:sz w:val="12"/>
                <w:szCs w:val="12"/>
              </w:rPr>
            </w:pPr>
          </w:p>
          <w:p w:rsidR="001A34C8" w:rsidRPr="004868DD" w:rsidRDefault="001A34C8" w:rsidP="00B92D73">
            <w:pPr>
              <w:pStyle w:val="Normal0"/>
              <w:rPr>
                <w:sz w:val="12"/>
                <w:szCs w:val="12"/>
              </w:rPr>
            </w:pPr>
            <w:r>
              <w:rPr>
                <w:sz w:val="12"/>
                <w:szCs w:val="12"/>
              </w:rPr>
              <w:t>Inmoralidad del funcionario público, faltan programas más agresivos de sensibilización a los servidores públicos del reglamento interno de trabajo, código general disciplinario, código de integridad y el estatuto anticorrupción</w:t>
            </w:r>
          </w:p>
        </w:tc>
        <w:tc>
          <w:tcPr>
            <w:tcW w:w="297"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Posible solicitud indebida de dinero u otra utilidad por parte de un auditor a un servidor público a cambio de favorecerle en un hallazgo o informe</w:t>
            </w:r>
          </w:p>
        </w:tc>
        <w:tc>
          <w:tcPr>
            <w:tcW w:w="403"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371209" w:rsidRDefault="001A34C8" w:rsidP="00B92D73">
            <w:pPr>
              <w:rPr>
                <w:rFonts w:ascii="Arial" w:hAnsi="Arial" w:cs="Arial"/>
                <w:sz w:val="12"/>
                <w:szCs w:val="12"/>
              </w:rPr>
            </w:pPr>
            <w:r>
              <w:rPr>
                <w:rFonts w:ascii="Arial" w:hAnsi="Arial" w:cs="Arial"/>
                <w:sz w:val="12"/>
                <w:szCs w:val="12"/>
              </w:rPr>
              <w:t>Información errónea en la presentación de los hallazgos e informes</w:t>
            </w:r>
          </w:p>
        </w:tc>
        <w:tc>
          <w:tcPr>
            <w:tcW w:w="440"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371209" w:rsidRDefault="001A34C8" w:rsidP="00B92D73">
            <w:pPr>
              <w:rPr>
                <w:rFonts w:ascii="Arial" w:hAnsi="Arial" w:cs="Arial"/>
                <w:sz w:val="12"/>
                <w:szCs w:val="12"/>
              </w:rPr>
            </w:pPr>
            <w:r>
              <w:rPr>
                <w:rFonts w:ascii="Arial" w:hAnsi="Arial" w:cs="Arial"/>
                <w:sz w:val="12"/>
                <w:szCs w:val="12"/>
              </w:rPr>
              <w:t>Nulidad de las actuaciones, incumplimiento del código de ética del auditor, incumplimiento en el estatuto de auditoria interna, sanciones disciplinarias, fiscales y penales</w:t>
            </w:r>
          </w:p>
        </w:tc>
        <w:tc>
          <w:tcPr>
            <w:tcW w:w="247" w:type="pct"/>
            <w:gridSpan w:val="2"/>
            <w:shd w:val="clear" w:color="auto" w:fill="FFC000"/>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 xml:space="preserve">     Mayor</w:t>
            </w:r>
          </w:p>
        </w:tc>
        <w:tc>
          <w:tcPr>
            <w:tcW w:w="255" w:type="pct"/>
            <w:shd w:val="clear" w:color="auto" w:fill="70AD47" w:themeFill="accent6"/>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Pr>
                <w:rFonts w:ascii="Arial" w:hAnsi="Arial" w:cs="Arial"/>
                <w:sz w:val="12"/>
                <w:szCs w:val="12"/>
              </w:rPr>
              <w:t>Rara Vez</w:t>
            </w:r>
          </w:p>
        </w:tc>
        <w:tc>
          <w:tcPr>
            <w:tcW w:w="232" w:type="pct"/>
            <w:shd w:val="clear" w:color="auto" w:fill="70AD47" w:themeFill="accent6"/>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sidRPr="00882BF7">
              <w:rPr>
                <w:rFonts w:ascii="Arial" w:hAnsi="Arial" w:cs="Arial"/>
                <w:sz w:val="12"/>
                <w:szCs w:val="12"/>
              </w:rPr>
              <w:t>Zona de Riesgo baja. Asumir el Riesgo.</w:t>
            </w:r>
          </w:p>
        </w:tc>
        <w:tc>
          <w:tcPr>
            <w:tcW w:w="22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Pr>
                <w:rFonts w:ascii="Arial" w:hAnsi="Arial" w:cs="Arial"/>
                <w:sz w:val="12"/>
                <w:szCs w:val="12"/>
              </w:rPr>
              <w:t>Preventivo</w:t>
            </w:r>
          </w:p>
        </w:tc>
        <w:tc>
          <w:tcPr>
            <w:tcW w:w="39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Elegir personal idóneo y competente para llevar a cabo el procedimiento de auditoria, poner en práctica el estatuto de auditoria y el código del auditor interno</w:t>
            </w:r>
          </w:p>
        </w:tc>
        <w:tc>
          <w:tcPr>
            <w:tcW w:w="228" w:type="pct"/>
            <w:shd w:val="clear" w:color="auto" w:fill="FFFF00"/>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sidRPr="00882BF7">
              <w:rPr>
                <w:rFonts w:ascii="Arial" w:hAnsi="Arial" w:cs="Arial"/>
                <w:sz w:val="12"/>
                <w:szCs w:val="12"/>
              </w:rPr>
              <w:t>Zona de riesgo moderada. Asumir el riesgo. Reducir el riesgo</w:t>
            </w:r>
          </w:p>
        </w:tc>
        <w:tc>
          <w:tcPr>
            <w:tcW w:w="17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 xml:space="preserve">   evitar</w:t>
            </w:r>
          </w:p>
        </w:tc>
        <w:tc>
          <w:tcPr>
            <w:tcW w:w="28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sidRPr="00882BF7">
              <w:rPr>
                <w:rFonts w:ascii="Arial" w:hAnsi="Arial" w:cs="Arial"/>
                <w:sz w:val="12"/>
                <w:szCs w:val="12"/>
              </w:rPr>
              <w:t>Capacitar a los funcionarios</w:t>
            </w:r>
            <w:r>
              <w:rPr>
                <w:rFonts w:ascii="Arial" w:hAnsi="Arial" w:cs="Arial"/>
                <w:sz w:val="12"/>
                <w:szCs w:val="12"/>
              </w:rPr>
              <w:t xml:space="preserve"> en auditoria interna, estatuto de auditoria y código de ética del auditor</w:t>
            </w:r>
          </w:p>
        </w:tc>
        <w:tc>
          <w:tcPr>
            <w:tcW w:w="308"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Listas de Asistencia, Memorias</w:t>
            </w:r>
          </w:p>
        </w:tc>
        <w:tc>
          <w:tcPr>
            <w:tcW w:w="269"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r>
              <w:rPr>
                <w:rFonts w:ascii="Arial" w:hAnsi="Arial" w:cs="Arial"/>
                <w:sz w:val="12"/>
                <w:szCs w:val="12"/>
              </w:rPr>
              <w:t>El responsable del proceso</w:t>
            </w:r>
          </w:p>
          <w:p w:rsidR="001A34C8" w:rsidRPr="00882BF7" w:rsidRDefault="001A34C8" w:rsidP="00B92D73">
            <w:pPr>
              <w:rPr>
                <w:rFonts w:ascii="Arial" w:hAnsi="Arial" w:cs="Arial"/>
                <w:sz w:val="12"/>
                <w:szCs w:val="12"/>
              </w:rPr>
            </w:pPr>
          </w:p>
        </w:tc>
        <w:tc>
          <w:tcPr>
            <w:tcW w:w="383"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 xml:space="preserve">    Mensual</w:t>
            </w:r>
          </w:p>
        </w:tc>
      </w:tr>
      <w:tr w:rsidR="006833EC" w:rsidRPr="00882BF7" w:rsidTr="006833EC">
        <w:trPr>
          <w:cantSplit/>
        </w:trPr>
        <w:tc>
          <w:tcPr>
            <w:tcW w:w="128"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Pr>
                <w:rFonts w:ascii="Arial" w:hAnsi="Arial" w:cs="Arial"/>
                <w:sz w:val="12"/>
                <w:szCs w:val="12"/>
              </w:rPr>
              <w:t>9</w:t>
            </w:r>
          </w:p>
        </w:tc>
        <w:tc>
          <w:tcPr>
            <w:tcW w:w="311"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jc w:val="center"/>
              <w:rPr>
                <w:rFonts w:ascii="Arial" w:hAnsi="Arial" w:cs="Arial"/>
                <w:sz w:val="12"/>
                <w:szCs w:val="12"/>
              </w:rPr>
            </w:pPr>
            <w:r>
              <w:rPr>
                <w:rFonts w:ascii="Arial" w:hAnsi="Arial" w:cs="Arial"/>
                <w:sz w:val="12"/>
                <w:szCs w:val="12"/>
              </w:rPr>
              <w:t>Jurídica</w:t>
            </w:r>
          </w:p>
        </w:tc>
        <w:tc>
          <w:tcPr>
            <w:tcW w:w="413" w:type="pct"/>
            <w:vAlign w:val="center"/>
          </w:tcPr>
          <w:p w:rsidR="001A34C8" w:rsidRDefault="001A34C8" w:rsidP="00B92D73">
            <w:pPr>
              <w:pStyle w:val="Normal0"/>
              <w:jc w:val="center"/>
              <w:rPr>
                <w:sz w:val="12"/>
                <w:szCs w:val="12"/>
              </w:rPr>
            </w:pPr>
          </w:p>
          <w:p w:rsidR="001A34C8" w:rsidRPr="004868DD" w:rsidRDefault="001A34C8" w:rsidP="00B92D73">
            <w:pPr>
              <w:pStyle w:val="Normal0"/>
              <w:jc w:val="center"/>
              <w:rPr>
                <w:sz w:val="12"/>
                <w:szCs w:val="12"/>
              </w:rPr>
            </w:pPr>
            <w:r>
              <w:rPr>
                <w:sz w:val="12"/>
                <w:szCs w:val="12"/>
              </w:rPr>
              <w:t>Falta de seguridad en la custodia de la información, inmoralidad del funcionario público, inadecuado sistema de archivo, ofrecimiento de dadivas, presiones de superiores jerárquicos.</w:t>
            </w:r>
          </w:p>
        </w:tc>
        <w:tc>
          <w:tcPr>
            <w:tcW w:w="297" w:type="pct"/>
            <w:vAlign w:val="center"/>
          </w:tcPr>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Posibilidad de adulterar, sustraer o usar indebidamente información, para favorecer a un tercero, uso ilegitimo del poder, tráfico de influencias</w:t>
            </w:r>
          </w:p>
        </w:tc>
        <w:tc>
          <w:tcPr>
            <w:tcW w:w="403"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371209" w:rsidRDefault="001A34C8" w:rsidP="00B92D73">
            <w:pPr>
              <w:rPr>
                <w:rFonts w:ascii="Arial" w:hAnsi="Arial" w:cs="Arial"/>
                <w:sz w:val="12"/>
                <w:szCs w:val="12"/>
              </w:rPr>
            </w:pPr>
            <w:r>
              <w:rPr>
                <w:rFonts w:ascii="Arial" w:hAnsi="Arial" w:cs="Arial"/>
                <w:sz w:val="12"/>
                <w:szCs w:val="12"/>
              </w:rPr>
              <w:t>Fuga de la Información o indebida representación judicial para favorecer un tercero</w:t>
            </w:r>
          </w:p>
        </w:tc>
        <w:tc>
          <w:tcPr>
            <w:tcW w:w="440"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371209" w:rsidRDefault="001A34C8" w:rsidP="00B92D73">
            <w:pPr>
              <w:rPr>
                <w:rFonts w:ascii="Arial" w:hAnsi="Arial" w:cs="Arial"/>
                <w:sz w:val="12"/>
                <w:szCs w:val="12"/>
              </w:rPr>
            </w:pPr>
            <w:r>
              <w:rPr>
                <w:rFonts w:ascii="Arial" w:hAnsi="Arial" w:cs="Arial"/>
                <w:sz w:val="12"/>
                <w:szCs w:val="12"/>
              </w:rPr>
              <w:t>Nulidad de las actuaciones, no cumplimiento de las obligaciones exigibles a terceros, errores en la defensa jurídica de la entidad que deriven en sanciones, detrimento patrimonial por el pago de sanciones pecuniarias resultado de malos procesos judiciales, indebida representación de los intereses de la entidad.</w:t>
            </w:r>
          </w:p>
        </w:tc>
        <w:tc>
          <w:tcPr>
            <w:tcW w:w="247" w:type="pct"/>
            <w:gridSpan w:val="2"/>
            <w:shd w:val="clear" w:color="auto" w:fill="FF0000"/>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Catastrófico</w:t>
            </w:r>
          </w:p>
        </w:tc>
        <w:tc>
          <w:tcPr>
            <w:tcW w:w="255" w:type="pct"/>
            <w:shd w:val="clear" w:color="auto" w:fill="70AD47" w:themeFill="accent6"/>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 xml:space="preserve">    Rara Vez</w:t>
            </w:r>
          </w:p>
        </w:tc>
        <w:tc>
          <w:tcPr>
            <w:tcW w:w="232" w:type="pct"/>
            <w:shd w:val="clear" w:color="auto" w:fill="FFFF00"/>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sidRPr="00371209">
              <w:rPr>
                <w:rFonts w:ascii="Arial" w:hAnsi="Arial" w:cs="Arial"/>
                <w:sz w:val="12"/>
                <w:szCs w:val="12"/>
              </w:rPr>
              <w:t>Zona de riesgo moderada. Asumir el riesgo. Reducir el riesgo</w:t>
            </w:r>
          </w:p>
        </w:tc>
        <w:tc>
          <w:tcPr>
            <w:tcW w:w="22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r>
              <w:rPr>
                <w:rFonts w:ascii="Arial" w:hAnsi="Arial" w:cs="Arial"/>
                <w:sz w:val="12"/>
                <w:szCs w:val="12"/>
              </w:rPr>
              <w:t xml:space="preserve">  </w:t>
            </w:r>
          </w:p>
          <w:p w:rsidR="001A34C8" w:rsidRPr="00882BF7" w:rsidRDefault="001A34C8" w:rsidP="00B92D73">
            <w:pPr>
              <w:rPr>
                <w:rFonts w:ascii="Arial" w:hAnsi="Arial" w:cs="Arial"/>
                <w:sz w:val="12"/>
                <w:szCs w:val="12"/>
              </w:rPr>
            </w:pPr>
            <w:r>
              <w:rPr>
                <w:rFonts w:ascii="Arial" w:hAnsi="Arial" w:cs="Arial"/>
                <w:sz w:val="12"/>
                <w:szCs w:val="12"/>
              </w:rPr>
              <w:t xml:space="preserve">   Preventivo</w:t>
            </w:r>
          </w:p>
        </w:tc>
        <w:tc>
          <w:tcPr>
            <w:tcW w:w="396" w:type="pct"/>
            <w:vAlign w:val="center"/>
          </w:tcPr>
          <w:p w:rsidR="001A34C8" w:rsidRDefault="001A34C8" w:rsidP="00B92D73">
            <w:pPr>
              <w:jc w:val="cente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Elegir personal idóneo y competente para llevar a cabo la defensa judicial y gestión jurídica de la entidad, emitir conceptos jurídicos y absolver consultas relacionadas con asuntos de competencia de la entidad, realizar controles de legalidad de actos administrativos, representar judicialmente a la entidad en las demandas que se presenten a favor o en contra, brindar información específica sobre un hecho o situación particular.</w:t>
            </w:r>
          </w:p>
        </w:tc>
        <w:tc>
          <w:tcPr>
            <w:tcW w:w="228" w:type="pct"/>
            <w:shd w:val="clear" w:color="auto" w:fill="70AD47" w:themeFill="accent6"/>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Pr="00882BF7" w:rsidRDefault="001A34C8" w:rsidP="00B92D73">
            <w:pPr>
              <w:rPr>
                <w:rFonts w:ascii="Arial" w:hAnsi="Arial" w:cs="Arial"/>
                <w:sz w:val="12"/>
                <w:szCs w:val="12"/>
              </w:rPr>
            </w:pPr>
            <w:r w:rsidRPr="00882BF7">
              <w:rPr>
                <w:rFonts w:ascii="Arial" w:hAnsi="Arial" w:cs="Arial"/>
                <w:sz w:val="12"/>
                <w:szCs w:val="12"/>
              </w:rPr>
              <w:t>Zona de Riesgo baja. Asumir el Riesgo</w:t>
            </w:r>
          </w:p>
        </w:tc>
        <w:tc>
          <w:tcPr>
            <w:tcW w:w="176"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r>
              <w:rPr>
                <w:rFonts w:ascii="Arial" w:hAnsi="Arial" w:cs="Arial"/>
                <w:sz w:val="12"/>
                <w:szCs w:val="12"/>
              </w:rPr>
              <w:t xml:space="preserve">    </w:t>
            </w:r>
          </w:p>
          <w:p w:rsidR="001A34C8" w:rsidRPr="00882BF7" w:rsidRDefault="001A34C8" w:rsidP="00B92D73">
            <w:pPr>
              <w:rPr>
                <w:rFonts w:ascii="Arial" w:hAnsi="Arial" w:cs="Arial"/>
                <w:sz w:val="12"/>
                <w:szCs w:val="12"/>
              </w:rPr>
            </w:pPr>
            <w:r>
              <w:rPr>
                <w:rFonts w:ascii="Arial" w:hAnsi="Arial" w:cs="Arial"/>
                <w:sz w:val="12"/>
                <w:szCs w:val="12"/>
              </w:rPr>
              <w:t xml:space="preserve">     evitar</w:t>
            </w:r>
          </w:p>
        </w:tc>
        <w:tc>
          <w:tcPr>
            <w:tcW w:w="286" w:type="pct"/>
            <w:vAlign w:val="center"/>
          </w:tcPr>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Llevar a comité directivo cualquier asunto que en materia judicial involucre a la entidad</w:t>
            </w:r>
          </w:p>
        </w:tc>
        <w:tc>
          <w:tcPr>
            <w:tcW w:w="308" w:type="pct"/>
            <w:vAlign w:val="center"/>
          </w:tcPr>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Pr="00882BF7" w:rsidRDefault="001A34C8" w:rsidP="00B92D73">
            <w:pPr>
              <w:rPr>
                <w:rFonts w:ascii="Arial" w:hAnsi="Arial" w:cs="Arial"/>
                <w:sz w:val="12"/>
                <w:szCs w:val="12"/>
              </w:rPr>
            </w:pPr>
            <w:r>
              <w:rPr>
                <w:rFonts w:ascii="Arial" w:hAnsi="Arial" w:cs="Arial"/>
                <w:sz w:val="12"/>
                <w:szCs w:val="12"/>
              </w:rPr>
              <w:t>Acta de comité, listado de asistencia</w:t>
            </w:r>
          </w:p>
        </w:tc>
        <w:tc>
          <w:tcPr>
            <w:tcW w:w="269" w:type="pct"/>
            <w:vAlign w:val="center"/>
          </w:tcPr>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jc w:val="cente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r>
              <w:rPr>
                <w:rFonts w:ascii="Arial" w:hAnsi="Arial" w:cs="Arial"/>
                <w:sz w:val="12"/>
                <w:szCs w:val="12"/>
              </w:rPr>
              <w:t>El responsable del proceso</w:t>
            </w:r>
          </w:p>
          <w:p w:rsidR="001A34C8" w:rsidRPr="00882BF7" w:rsidRDefault="001A34C8" w:rsidP="00B92D73">
            <w:pPr>
              <w:rPr>
                <w:rFonts w:ascii="Arial" w:hAnsi="Arial" w:cs="Arial"/>
                <w:sz w:val="12"/>
                <w:szCs w:val="12"/>
              </w:rPr>
            </w:pPr>
          </w:p>
        </w:tc>
        <w:tc>
          <w:tcPr>
            <w:tcW w:w="383" w:type="pct"/>
            <w:vAlign w:val="center"/>
          </w:tcPr>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p>
          <w:p w:rsidR="001A34C8" w:rsidRDefault="001A34C8" w:rsidP="00B92D73">
            <w:pPr>
              <w:rPr>
                <w:rFonts w:ascii="Arial" w:hAnsi="Arial" w:cs="Arial"/>
                <w:sz w:val="12"/>
                <w:szCs w:val="12"/>
              </w:rPr>
            </w:pPr>
            <w:r>
              <w:rPr>
                <w:rFonts w:ascii="Arial" w:hAnsi="Arial" w:cs="Arial"/>
                <w:sz w:val="12"/>
                <w:szCs w:val="12"/>
              </w:rPr>
              <w:t>Cuando ocurra el evento o seguimiento trimestral</w:t>
            </w:r>
          </w:p>
          <w:p w:rsidR="001A34C8" w:rsidRPr="00882BF7" w:rsidRDefault="001A34C8" w:rsidP="00B92D73">
            <w:pPr>
              <w:rPr>
                <w:rFonts w:ascii="Arial" w:hAnsi="Arial" w:cs="Arial"/>
                <w:sz w:val="12"/>
                <w:szCs w:val="12"/>
              </w:rPr>
            </w:pPr>
          </w:p>
        </w:tc>
      </w:tr>
    </w:tbl>
    <w:p w:rsidR="006833EC" w:rsidRDefault="006833EC" w:rsidP="006833EC">
      <w:pPr>
        <w:jc w:val="both"/>
        <w:rPr>
          <w:rFonts w:ascii="Arial" w:hAnsi="Arial" w:cs="Arial"/>
          <w:sz w:val="18"/>
          <w:szCs w:val="18"/>
        </w:rPr>
      </w:pPr>
    </w:p>
    <w:p w:rsidR="006833EC" w:rsidRDefault="006833EC" w:rsidP="006833EC">
      <w:pPr>
        <w:jc w:val="both"/>
        <w:rPr>
          <w:rFonts w:ascii="Arial" w:hAnsi="Arial" w:cs="Arial"/>
          <w:sz w:val="18"/>
          <w:szCs w:val="18"/>
        </w:rPr>
      </w:pPr>
    </w:p>
    <w:p w:rsidR="006833EC" w:rsidRDefault="006833EC" w:rsidP="006833EC">
      <w:pPr>
        <w:jc w:val="both"/>
        <w:rPr>
          <w:rFonts w:ascii="Arial" w:hAnsi="Arial" w:cs="Arial"/>
          <w:sz w:val="18"/>
          <w:szCs w:val="18"/>
        </w:rPr>
      </w:pPr>
    </w:p>
    <w:p w:rsidR="006833EC" w:rsidRDefault="006833EC" w:rsidP="006833EC">
      <w:pPr>
        <w:jc w:val="both"/>
        <w:rPr>
          <w:rFonts w:ascii="Arial" w:hAnsi="Arial" w:cs="Arial"/>
          <w:sz w:val="18"/>
          <w:szCs w:val="18"/>
        </w:rPr>
      </w:pPr>
    </w:p>
    <w:p w:rsidR="006833EC" w:rsidRPr="008C069C" w:rsidRDefault="006833EC" w:rsidP="006833EC">
      <w:pPr>
        <w:jc w:val="both"/>
        <w:rPr>
          <w:rFonts w:ascii="Arial" w:hAnsi="Arial" w:cs="Arial"/>
          <w:sz w:val="18"/>
          <w:szCs w:val="18"/>
        </w:rPr>
      </w:pPr>
      <w:r>
        <w:rPr>
          <w:rFonts w:ascii="Arial" w:hAnsi="Arial" w:cs="Arial"/>
          <w:sz w:val="18"/>
          <w:szCs w:val="18"/>
        </w:rPr>
        <w:t>JOHNATAN SERNA CARMONA</w:t>
      </w:r>
      <w:r>
        <w:rPr>
          <w:rFonts w:ascii="Arial" w:hAnsi="Arial" w:cs="Arial"/>
          <w:sz w:val="18"/>
          <w:szCs w:val="18"/>
        </w:rPr>
        <w:tab/>
      </w:r>
      <w:r>
        <w:rPr>
          <w:rFonts w:ascii="Arial" w:hAnsi="Arial" w:cs="Arial"/>
          <w:sz w:val="18"/>
          <w:szCs w:val="18"/>
        </w:rPr>
        <w:tab/>
      </w:r>
      <w:r>
        <w:rPr>
          <w:rFonts w:ascii="Arial" w:hAnsi="Arial" w:cs="Arial"/>
          <w:sz w:val="18"/>
          <w:szCs w:val="18"/>
        </w:rPr>
        <w:tab/>
      </w:r>
      <w:r w:rsidRPr="008C069C">
        <w:rPr>
          <w:rFonts w:ascii="Arial" w:hAnsi="Arial" w:cs="Arial"/>
          <w:sz w:val="18"/>
          <w:szCs w:val="18"/>
        </w:rPr>
        <w:t xml:space="preserve">                                                  </w:t>
      </w:r>
      <w:r>
        <w:rPr>
          <w:rFonts w:ascii="Arial" w:hAnsi="Arial" w:cs="Arial"/>
          <w:sz w:val="18"/>
          <w:szCs w:val="18"/>
        </w:rPr>
        <w:t>LUZ ANGELA RUIZ NOREÑA</w:t>
      </w:r>
    </w:p>
    <w:p w:rsidR="006833EC" w:rsidRPr="00B53197" w:rsidRDefault="006833EC" w:rsidP="006833EC">
      <w:pPr>
        <w:jc w:val="both"/>
        <w:rPr>
          <w:rFonts w:ascii="Arial" w:hAnsi="Arial" w:cs="Arial"/>
          <w:sz w:val="20"/>
          <w:szCs w:val="20"/>
        </w:rPr>
      </w:pPr>
      <w:r w:rsidRPr="00B53197">
        <w:rPr>
          <w:rFonts w:ascii="Arial" w:hAnsi="Arial" w:cs="Arial"/>
          <w:sz w:val="20"/>
          <w:szCs w:val="20"/>
        </w:rPr>
        <w:t>Gerente</w:t>
      </w:r>
      <w:r>
        <w:rPr>
          <w:rFonts w:ascii="Arial" w:hAnsi="Arial" w:cs="Arial"/>
          <w:sz w:val="20"/>
          <w:szCs w:val="20"/>
        </w:rPr>
        <w:t xml:space="preserve">   General                                                                                             Dirección Operativa y de Proyectos</w:t>
      </w:r>
    </w:p>
    <w:p w:rsidR="006833EC" w:rsidRDefault="006833EC" w:rsidP="006833EC">
      <w:pPr>
        <w:jc w:val="both"/>
        <w:rPr>
          <w:rFonts w:ascii="Arial" w:hAnsi="Arial" w:cs="Arial"/>
          <w:sz w:val="12"/>
          <w:szCs w:val="12"/>
        </w:rPr>
      </w:pPr>
      <w:r w:rsidRPr="00B53197">
        <w:rPr>
          <w:rFonts w:ascii="Arial" w:hAnsi="Arial" w:cs="Arial"/>
          <w:sz w:val="20"/>
          <w:szCs w:val="20"/>
        </w:rPr>
        <w:t>Agenci</w:t>
      </w:r>
      <w:r>
        <w:rPr>
          <w:rFonts w:ascii="Arial" w:hAnsi="Arial" w:cs="Arial"/>
          <w:sz w:val="20"/>
          <w:szCs w:val="20"/>
        </w:rPr>
        <w:t>a de Desarrollo Local de Itagüí -</w:t>
      </w:r>
      <w:r w:rsidRPr="00B53197">
        <w:rPr>
          <w:rFonts w:ascii="Arial" w:hAnsi="Arial" w:cs="Arial"/>
          <w:sz w:val="20"/>
          <w:szCs w:val="20"/>
        </w:rPr>
        <w:t xml:space="preserve"> Adeli.</w:t>
      </w:r>
      <w:r>
        <w:rPr>
          <w:rFonts w:ascii="Arial" w:hAnsi="Arial" w:cs="Arial"/>
          <w:sz w:val="20"/>
          <w:szCs w:val="20"/>
        </w:rPr>
        <w:t xml:space="preserve">                                                   </w:t>
      </w:r>
    </w:p>
    <w:p w:rsidR="006833EC" w:rsidRDefault="006833EC" w:rsidP="006833EC">
      <w:pPr>
        <w:jc w:val="both"/>
        <w:rPr>
          <w:rFonts w:ascii="Arial" w:hAnsi="Arial" w:cs="Arial"/>
          <w:sz w:val="12"/>
          <w:szCs w:val="12"/>
        </w:rPr>
      </w:pPr>
    </w:p>
    <w:p w:rsidR="006833EC" w:rsidRDefault="006833EC" w:rsidP="006833EC">
      <w:pPr>
        <w:jc w:val="both"/>
        <w:rPr>
          <w:rFonts w:ascii="Arial" w:hAnsi="Arial" w:cs="Arial"/>
          <w:sz w:val="12"/>
          <w:szCs w:val="12"/>
        </w:rPr>
      </w:pPr>
    </w:p>
    <w:p w:rsidR="006833EC" w:rsidRDefault="006833EC" w:rsidP="006833EC">
      <w:pPr>
        <w:jc w:val="both"/>
        <w:rPr>
          <w:rFonts w:ascii="Arial" w:hAnsi="Arial" w:cs="Arial"/>
          <w:sz w:val="12"/>
          <w:szCs w:val="12"/>
        </w:rPr>
      </w:pPr>
    </w:p>
    <w:p w:rsidR="006833EC" w:rsidRDefault="006833EC" w:rsidP="006833EC">
      <w:pPr>
        <w:jc w:val="both"/>
        <w:rPr>
          <w:rFonts w:ascii="Arial" w:hAnsi="Arial" w:cs="Arial"/>
          <w:sz w:val="12"/>
          <w:szCs w:val="12"/>
        </w:rPr>
      </w:pPr>
    </w:p>
    <w:p w:rsidR="006833EC" w:rsidRDefault="006833EC" w:rsidP="006833EC">
      <w:pPr>
        <w:jc w:val="both"/>
        <w:rPr>
          <w:rFonts w:ascii="Arial" w:hAnsi="Arial" w:cs="Arial"/>
          <w:sz w:val="12"/>
          <w:szCs w:val="12"/>
        </w:rPr>
      </w:pPr>
    </w:p>
    <w:p w:rsidR="006833EC" w:rsidRPr="008C069C" w:rsidRDefault="006833EC" w:rsidP="006833EC">
      <w:pPr>
        <w:jc w:val="both"/>
        <w:rPr>
          <w:rFonts w:ascii="Arial" w:hAnsi="Arial" w:cs="Arial"/>
          <w:sz w:val="18"/>
          <w:szCs w:val="18"/>
        </w:rPr>
      </w:pPr>
      <w:r>
        <w:rPr>
          <w:rFonts w:ascii="Arial" w:hAnsi="Arial" w:cs="Arial"/>
          <w:sz w:val="18"/>
          <w:szCs w:val="18"/>
        </w:rPr>
        <w:t xml:space="preserve">LOURDES MUÑOZ AGUIRRE </w:t>
      </w:r>
      <w:r>
        <w:rPr>
          <w:rFonts w:ascii="Arial" w:hAnsi="Arial" w:cs="Arial"/>
          <w:sz w:val="18"/>
          <w:szCs w:val="18"/>
        </w:rPr>
        <w:tab/>
      </w:r>
      <w:r>
        <w:rPr>
          <w:rFonts w:ascii="Arial" w:hAnsi="Arial" w:cs="Arial"/>
          <w:sz w:val="18"/>
          <w:szCs w:val="18"/>
        </w:rPr>
        <w:tab/>
      </w:r>
      <w:r w:rsidRPr="008C069C">
        <w:rPr>
          <w:rFonts w:ascii="Arial" w:hAnsi="Arial" w:cs="Arial"/>
          <w:sz w:val="18"/>
          <w:szCs w:val="18"/>
        </w:rPr>
        <w:t xml:space="preserve">                                                                </w:t>
      </w:r>
      <w:r>
        <w:rPr>
          <w:rFonts w:ascii="Arial" w:hAnsi="Arial" w:cs="Arial"/>
          <w:sz w:val="18"/>
          <w:szCs w:val="18"/>
        </w:rPr>
        <w:t xml:space="preserve"> DIANA PATRICIA ARBOLEDA ISAZA</w:t>
      </w:r>
      <w:r>
        <w:rPr>
          <w:rFonts w:ascii="Arial" w:hAnsi="Arial" w:cs="Arial"/>
          <w:sz w:val="18"/>
          <w:szCs w:val="18"/>
        </w:rPr>
        <w:tab/>
      </w:r>
      <w:r>
        <w:rPr>
          <w:rFonts w:ascii="Arial" w:hAnsi="Arial" w:cs="Arial"/>
          <w:sz w:val="18"/>
          <w:szCs w:val="18"/>
        </w:rPr>
        <w:tab/>
      </w:r>
      <w:r>
        <w:rPr>
          <w:rFonts w:ascii="Arial" w:hAnsi="Arial" w:cs="Arial"/>
          <w:sz w:val="18"/>
          <w:szCs w:val="18"/>
        </w:rPr>
        <w:tab/>
      </w:r>
    </w:p>
    <w:p w:rsidR="006833EC" w:rsidRDefault="006833EC" w:rsidP="006833EC">
      <w:pPr>
        <w:jc w:val="both"/>
        <w:rPr>
          <w:rFonts w:ascii="Arial" w:hAnsi="Arial" w:cs="Arial"/>
          <w:sz w:val="20"/>
          <w:szCs w:val="20"/>
        </w:rPr>
      </w:pPr>
      <w:r>
        <w:rPr>
          <w:rFonts w:ascii="Arial" w:hAnsi="Arial" w:cs="Arial"/>
          <w:sz w:val="20"/>
          <w:szCs w:val="20"/>
        </w:rPr>
        <w:t xml:space="preserve">Jefe Oficina Jurídica                                                                                         Dirección Administrativa y Financiera   </w:t>
      </w:r>
    </w:p>
    <w:p w:rsidR="006833EC" w:rsidRDefault="006833EC" w:rsidP="006833EC">
      <w:pPr>
        <w:jc w:val="both"/>
        <w:rPr>
          <w:rFonts w:ascii="Arial" w:hAnsi="Arial" w:cs="Arial"/>
          <w:sz w:val="20"/>
          <w:szCs w:val="20"/>
        </w:rPr>
      </w:pPr>
    </w:p>
    <w:p w:rsidR="006833EC" w:rsidRDefault="006833EC" w:rsidP="006833EC">
      <w:pPr>
        <w:jc w:val="both"/>
        <w:rPr>
          <w:rFonts w:ascii="Arial" w:hAnsi="Arial" w:cs="Arial"/>
          <w:sz w:val="20"/>
          <w:szCs w:val="20"/>
        </w:rPr>
      </w:pPr>
    </w:p>
    <w:p w:rsidR="006833EC" w:rsidRDefault="006833EC" w:rsidP="006833EC">
      <w:pPr>
        <w:jc w:val="both"/>
        <w:rPr>
          <w:rFonts w:ascii="Arial" w:hAnsi="Arial" w:cs="Arial"/>
          <w:sz w:val="20"/>
          <w:szCs w:val="20"/>
        </w:rPr>
      </w:pPr>
    </w:p>
    <w:p w:rsidR="006833EC" w:rsidRDefault="006833EC" w:rsidP="006833EC">
      <w:pPr>
        <w:jc w:val="both"/>
        <w:rPr>
          <w:rFonts w:ascii="Arial" w:hAnsi="Arial" w:cs="Arial"/>
          <w:sz w:val="18"/>
          <w:szCs w:val="18"/>
        </w:rPr>
      </w:pPr>
      <w:r>
        <w:rPr>
          <w:rFonts w:ascii="Arial" w:hAnsi="Arial" w:cs="Arial"/>
          <w:sz w:val="18"/>
          <w:szCs w:val="18"/>
        </w:rPr>
        <w:t>JOHANA MARTÌNEZ PARRA</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SOLANLLY BETANCUR GI</w:t>
      </w:r>
      <w:r>
        <w:rPr>
          <w:rFonts w:ascii="Arial" w:hAnsi="Arial" w:cs="Arial"/>
          <w:sz w:val="18"/>
          <w:szCs w:val="18"/>
        </w:rPr>
        <w:t>L</w:t>
      </w:r>
    </w:p>
    <w:p w:rsidR="001A34C8" w:rsidRPr="006833EC" w:rsidRDefault="006833EC" w:rsidP="006833EC">
      <w:pPr>
        <w:jc w:val="both"/>
        <w:rPr>
          <w:rFonts w:ascii="Arial" w:hAnsi="Arial" w:cs="Arial"/>
          <w:sz w:val="18"/>
          <w:szCs w:val="18"/>
        </w:rPr>
      </w:pPr>
      <w:r>
        <w:rPr>
          <w:rFonts w:ascii="Arial" w:hAnsi="Arial" w:cs="Arial"/>
          <w:sz w:val="20"/>
          <w:szCs w:val="20"/>
        </w:rPr>
        <w:t xml:space="preserve">Jefe Oficina Planeación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Asesora</w:t>
      </w:r>
    </w:p>
    <w:sectPr w:rsidR="001A34C8" w:rsidRPr="006833EC" w:rsidSect="00342CF5">
      <w:headerReference w:type="default" r:id="rId7"/>
      <w:footerReference w:type="default" r:id="rId8"/>
      <w:pgSz w:w="20160" w:h="12240" w:orient="landscape" w:code="5"/>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3B01" w:rsidRDefault="00293B01" w:rsidP="009832F0">
      <w:r>
        <w:separator/>
      </w:r>
    </w:p>
  </w:endnote>
  <w:endnote w:type="continuationSeparator" w:id="0">
    <w:p w:rsidR="00293B01" w:rsidRDefault="00293B01" w:rsidP="0098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34C8" w:rsidRDefault="001A34C8">
    <w:pPr>
      <w:pStyle w:val="Piedepgina"/>
    </w:pPr>
    <w:r>
      <w:rPr>
        <w:noProof/>
      </w:rPr>
      <mc:AlternateContent>
        <mc:Choice Requires="wps">
          <w:drawing>
            <wp:anchor distT="0" distB="0" distL="114300" distR="114300" simplePos="0" relativeHeight="251659264" behindDoc="0" locked="0" layoutInCell="1" allowOverlap="1">
              <wp:simplePos x="0" y="0"/>
              <wp:positionH relativeFrom="column">
                <wp:posOffset>8272197</wp:posOffset>
              </wp:positionH>
              <wp:positionV relativeFrom="paragraph">
                <wp:posOffset>-1221157</wp:posOffset>
              </wp:positionV>
              <wp:extent cx="3415004" cy="1026368"/>
              <wp:effectExtent l="0" t="0" r="1905" b="2540"/>
              <wp:wrapNone/>
              <wp:docPr id="1" name="Rectángulo 1"/>
              <wp:cNvGraphicFramePr/>
              <a:graphic xmlns:a="http://schemas.openxmlformats.org/drawingml/2006/main">
                <a:graphicData uri="http://schemas.microsoft.com/office/word/2010/wordprocessingShape">
                  <wps:wsp>
                    <wps:cNvSpPr/>
                    <wps:spPr>
                      <a:xfrm>
                        <a:off x="0" y="0"/>
                        <a:ext cx="3415004" cy="102636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EF263" id="Rectángulo 1" o:spid="_x0000_s1026" style="position:absolute;margin-left:651.35pt;margin-top:-96.15pt;width:268.9pt;height:8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" fillcolor="white [320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3B01" w:rsidRDefault="00293B01" w:rsidP="009832F0">
      <w:r>
        <w:separator/>
      </w:r>
    </w:p>
  </w:footnote>
  <w:footnote w:type="continuationSeparator" w:id="0">
    <w:p w:rsidR="00293B01" w:rsidRDefault="00293B01" w:rsidP="0098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32F0" w:rsidRPr="009832F0" w:rsidRDefault="00A204BE" w:rsidP="009832F0">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-877570</wp:posOffset>
          </wp:positionH>
          <wp:positionV relativeFrom="paragraph">
            <wp:posOffset>-448621</wp:posOffset>
          </wp:positionV>
          <wp:extent cx="12783568" cy="7759625"/>
          <wp:effectExtent l="0" t="0" r="5715"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a de trabajo 1@2x-100.jpg"/>
                  <pic:cNvPicPr/>
                </pic:nvPicPr>
                <pic:blipFill>
                  <a:blip r:embed="rId1">
                    <a:extLst>
                      <a:ext uri="{28A0092B-C50C-407E-A947-70E740481C1C}">
                        <a14:useLocalDpi xmlns:a14="http://schemas.microsoft.com/office/drawing/2010/main" val="0"/>
                      </a:ext>
                    </a:extLst>
                  </a:blip>
                  <a:stretch>
                    <a:fillRect/>
                  </a:stretch>
                </pic:blipFill>
                <pic:spPr>
                  <a:xfrm>
                    <a:off x="0" y="0"/>
                    <a:ext cx="12783568" cy="77596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F0"/>
    <w:rsid w:val="001A34C8"/>
    <w:rsid w:val="00246221"/>
    <w:rsid w:val="0029252A"/>
    <w:rsid w:val="00293B01"/>
    <w:rsid w:val="00342CF5"/>
    <w:rsid w:val="00346C09"/>
    <w:rsid w:val="00401771"/>
    <w:rsid w:val="00435A94"/>
    <w:rsid w:val="006833EC"/>
    <w:rsid w:val="00827EF6"/>
    <w:rsid w:val="009832F0"/>
    <w:rsid w:val="00A204BE"/>
    <w:rsid w:val="00A736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1D24B"/>
  <w15:chartTrackingRefBased/>
  <w15:docId w15:val="{F664858C-1F56-C44C-B282-2996C9D1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32F0"/>
    <w:pPr>
      <w:tabs>
        <w:tab w:val="center" w:pos="4419"/>
        <w:tab w:val="right" w:pos="8838"/>
      </w:tabs>
    </w:pPr>
  </w:style>
  <w:style w:type="character" w:customStyle="1" w:styleId="EncabezadoCar">
    <w:name w:val="Encabezado Car"/>
    <w:basedOn w:val="Fuentedeprrafopredeter"/>
    <w:link w:val="Encabezado"/>
    <w:uiPriority w:val="99"/>
    <w:rsid w:val="009832F0"/>
  </w:style>
  <w:style w:type="paragraph" w:styleId="Piedepgina">
    <w:name w:val="footer"/>
    <w:basedOn w:val="Normal"/>
    <w:link w:val="PiedepginaCar"/>
    <w:uiPriority w:val="99"/>
    <w:unhideWhenUsed/>
    <w:rsid w:val="009832F0"/>
    <w:pPr>
      <w:tabs>
        <w:tab w:val="center" w:pos="4419"/>
        <w:tab w:val="right" w:pos="8838"/>
      </w:tabs>
    </w:pPr>
  </w:style>
  <w:style w:type="character" w:customStyle="1" w:styleId="PiedepginaCar">
    <w:name w:val="Pie de página Car"/>
    <w:basedOn w:val="Fuentedeprrafopredeter"/>
    <w:link w:val="Piedepgina"/>
    <w:uiPriority w:val="99"/>
    <w:rsid w:val="009832F0"/>
  </w:style>
  <w:style w:type="table" w:styleId="Tablaconcuadrcula">
    <w:name w:val="Table Grid"/>
    <w:basedOn w:val="Tablanormal"/>
    <w:uiPriority w:val="59"/>
    <w:rsid w:val="001A34C8"/>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1A34C8"/>
    <w:pPr>
      <w:widowControl w:val="0"/>
      <w:autoSpaceDE w:val="0"/>
      <w:autoSpaceDN w:val="0"/>
      <w:adjustRightInd w:val="0"/>
    </w:pPr>
    <w:rPr>
      <w:rFonts w:ascii="Arial" w:eastAsia="MS Mincho" w:hAnsi="Arial" w:cs="Aria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BC5F-8A3E-5F40-81E3-456FAAEC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2167</Words>
  <Characters>11920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2020-08-18T13:21:00Z</cp:lastPrinted>
  <dcterms:created xsi:type="dcterms:W3CDTF">2020-08-18T13:41:00Z</dcterms:created>
  <dcterms:modified xsi:type="dcterms:W3CDTF">2020-08-18T13:41:00Z</dcterms:modified>
</cp:coreProperties>
</file>